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A5E9" w14:textId="53570175" w:rsidR="006D2172" w:rsidRDefault="00DD5ACE" w:rsidP="00814A62">
      <w:pPr>
        <w:spacing w:after="0"/>
        <w:jc w:val="both"/>
        <w:rPr>
          <w:rFonts w:eastAsia="Calibri" w:cstheme="minorHAnsi"/>
          <w:b/>
          <w:bCs/>
          <w:color w:val="0070C0"/>
          <w:sz w:val="28"/>
          <w:szCs w:val="28"/>
        </w:rPr>
      </w:pPr>
      <w:r>
        <w:rPr>
          <w:rFonts w:eastAsia="Calibri" w:cstheme="minorHAnsi"/>
          <w:b/>
          <w:bCs/>
          <w:noProof/>
          <w:color w:val="0070C0"/>
          <w:lang w:eastAsia="fr-FR"/>
        </w:rPr>
        <w:drawing>
          <wp:anchor distT="0" distB="0" distL="114300" distR="114300" simplePos="0" relativeHeight="251668992" behindDoc="0" locked="0" layoutInCell="1" allowOverlap="1" wp14:anchorId="1BE86251" wp14:editId="7633AEE3">
            <wp:simplePos x="0" y="0"/>
            <wp:positionH relativeFrom="column">
              <wp:posOffset>4554220</wp:posOffset>
            </wp:positionH>
            <wp:positionV relativeFrom="paragraph">
              <wp:posOffset>-58893</wp:posOffset>
            </wp:positionV>
            <wp:extent cx="1390486" cy="1385355"/>
            <wp:effectExtent l="0" t="0" r="635" b="5715"/>
            <wp:wrapNone/>
            <wp:docPr id="938550588" name="Image 1" descr="Une image contenant texte, logo, Graphiqu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550588" name="Image 1" descr="Une image contenant texte, logo, Graphique, cerc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86" cy="138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62" w:rsidRPr="00265DED">
        <w:rPr>
          <w:rFonts w:eastAsia="Calibri" w:cstheme="minorHAnsi"/>
          <w:b/>
          <w:bCs/>
          <w:color w:val="0070C0"/>
          <w:sz w:val="28"/>
          <w:szCs w:val="28"/>
        </w:rPr>
        <w:t>Activité « </w:t>
      </w:r>
      <w:r w:rsidR="00814A62" w:rsidRPr="00814A62">
        <w:rPr>
          <w:rFonts w:eastAsia="Calibri" w:cstheme="minorHAnsi"/>
          <w:b/>
          <w:bCs/>
          <w:color w:val="0070C0"/>
          <w:sz w:val="28"/>
          <w:szCs w:val="28"/>
        </w:rPr>
        <w:t xml:space="preserve">Journée internationale contre l’homophobie, </w:t>
      </w:r>
    </w:p>
    <w:p w14:paraId="1681596A" w14:textId="74E2359F" w:rsidR="00814A62" w:rsidRPr="00DD5ACE" w:rsidRDefault="00814A62" w:rsidP="00DD5ACE">
      <w:pPr>
        <w:spacing w:after="0"/>
        <w:jc w:val="both"/>
        <w:rPr>
          <w:rFonts w:eastAsia="Calibri" w:cstheme="minorHAnsi"/>
          <w:color w:val="0070C0"/>
          <w:sz w:val="28"/>
          <w:szCs w:val="28"/>
        </w:rPr>
      </w:pPr>
      <w:r w:rsidRPr="00814A62">
        <w:rPr>
          <w:rFonts w:eastAsia="Calibri" w:cstheme="minorHAnsi"/>
          <w:b/>
          <w:bCs/>
          <w:color w:val="0070C0"/>
          <w:sz w:val="28"/>
          <w:szCs w:val="28"/>
        </w:rPr>
        <w:t>la transphobie et la biphobie</w:t>
      </w:r>
      <w:r w:rsidRPr="00265DED">
        <w:rPr>
          <w:rFonts w:eastAsia="Calibri" w:cstheme="minorHAnsi"/>
          <w:b/>
          <w:bCs/>
          <w:color w:val="0070C0"/>
          <w:sz w:val="28"/>
          <w:szCs w:val="28"/>
        </w:rPr>
        <w:t>»</w:t>
      </w:r>
    </w:p>
    <w:p w14:paraId="46B6D789" w14:textId="24184D37" w:rsidR="00814A62" w:rsidRPr="005F2B61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6F777005" w14:textId="53782FB4" w:rsidR="00814A62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2E59D1" w:rsidRPr="00DD5ACE">
        <w:rPr>
          <w:rFonts w:eastAsia="Calibri" w:cstheme="minorHAnsi"/>
          <w:b/>
          <w:bCs/>
          <w:color w:val="0070C0"/>
        </w:rPr>
        <w:t>Niveau:</w:t>
      </w:r>
      <w:r w:rsidRPr="00DD5ACE">
        <w:rPr>
          <w:rFonts w:eastAsia="Calibri" w:cstheme="minorHAnsi"/>
          <w:b/>
          <w:bCs/>
          <w:color w:val="0070C0"/>
        </w:rPr>
        <w:t xml:space="preserve"> </w:t>
      </w:r>
      <w:r w:rsidR="002E59D1" w:rsidRPr="002E59D1">
        <w:rPr>
          <w:rFonts w:eastAsia="Calibri" w:cstheme="minorHAnsi"/>
          <w:b/>
          <w:bCs/>
          <w:color w:val="0070C0"/>
        </w:rPr>
        <w:t>Première professionnelle</w:t>
      </w:r>
    </w:p>
    <w:p w14:paraId="3AC7E339" w14:textId="7375D4C2" w:rsidR="002E59D1" w:rsidRPr="00DD5ACE" w:rsidRDefault="002E59D1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37D311E1" w14:textId="48573CE9" w:rsidR="00814A62" w:rsidRDefault="002E59D1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814A62" w:rsidRPr="005F2B61">
        <w:rPr>
          <w:rFonts w:eastAsia="Calibri" w:cstheme="minorHAnsi"/>
          <w:b/>
          <w:bCs/>
          <w:color w:val="0070C0"/>
        </w:rPr>
        <w:t xml:space="preserve">Module de formation : </w:t>
      </w:r>
      <w:r>
        <w:rPr>
          <w:rFonts w:eastAsia="Calibri" w:cstheme="minorHAnsi"/>
          <w:b/>
          <w:bCs/>
          <w:color w:val="0070C0"/>
        </w:rPr>
        <w:t>Statistique et probabilités</w:t>
      </w:r>
    </w:p>
    <w:p w14:paraId="3761A853" w14:textId="77777777" w:rsidR="00814A62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786C8844" w14:textId="77777777" w:rsidR="00814A62" w:rsidRPr="005F2B61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C</w:t>
      </w:r>
      <w:r w:rsidRPr="005F2B61">
        <w:rPr>
          <w:rFonts w:eastAsia="Calibri" w:cstheme="minorHAnsi"/>
          <w:b/>
          <w:bCs/>
          <w:color w:val="0070C0"/>
        </w:rPr>
        <w:t>onnaissances abordées :</w:t>
      </w:r>
    </w:p>
    <w:p w14:paraId="76B494EE" w14:textId="77777777" w:rsidR="00814A62" w:rsidRPr="005F2B61" w:rsidRDefault="00814A62" w:rsidP="00814A62">
      <w:pPr>
        <w:spacing w:after="0" w:line="240" w:lineRule="auto"/>
        <w:rPr>
          <w:rFonts w:eastAsia="Calibri" w:cstheme="minorHAnsi"/>
        </w:rPr>
      </w:pPr>
    </w:p>
    <w:tbl>
      <w:tblPr>
        <w:tblStyle w:val="Grilledutableau"/>
        <w:tblW w:w="9459" w:type="dxa"/>
        <w:tblLayout w:type="fixed"/>
        <w:tblLook w:val="06A0" w:firstRow="1" w:lastRow="0" w:firstColumn="1" w:lastColumn="0" w:noHBand="1" w:noVBand="1"/>
      </w:tblPr>
      <w:tblGrid>
        <w:gridCol w:w="9459"/>
      </w:tblGrid>
      <w:tr w:rsidR="00814A62" w:rsidRPr="002E59D1" w14:paraId="270DB6A5" w14:textId="77777777" w:rsidTr="00FE0E71">
        <w:trPr>
          <w:trHeight w:val="270"/>
        </w:trPr>
        <w:tc>
          <w:tcPr>
            <w:tcW w:w="9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08C274F6" w14:textId="77777777" w:rsidR="00814A62" w:rsidRPr="00762C12" w:rsidRDefault="00814A62" w:rsidP="00FE0E71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762C12">
              <w:rPr>
                <w:rFonts w:eastAsia="Calibri" w:cstheme="minorHAnsi"/>
                <w:b/>
                <w:bCs/>
                <w:color w:val="FFFFFF" w:themeColor="background1"/>
              </w:rPr>
              <w:t>Connaissances</w:t>
            </w:r>
          </w:p>
        </w:tc>
      </w:tr>
      <w:tr w:rsidR="00814A62" w:rsidRPr="002E59D1" w14:paraId="3D433532" w14:textId="77777777" w:rsidTr="00FE0E71">
        <w:trPr>
          <w:trHeight w:val="848"/>
        </w:trPr>
        <w:tc>
          <w:tcPr>
            <w:tcW w:w="9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84951" w14:textId="13C98905" w:rsidR="00814A62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Nuage de points associé à une série statistique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à deux variables quantitatives.</w:t>
            </w:r>
          </w:p>
          <w:p w14:paraId="29E89151" w14:textId="3A65E13F" w:rsidR="002E59D1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Ajustement affine par la méthode des moindres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carrés.</w:t>
            </w:r>
          </w:p>
          <w:p w14:paraId="224146BB" w14:textId="36E31D81" w:rsidR="002E59D1" w:rsidRPr="002E59D1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Coefficient de détermination R</w:t>
            </w:r>
            <w:r w:rsidRPr="00DD5ACE">
              <w:rPr>
                <w:rStyle w:val="markedcontent"/>
                <w:rFonts w:cstheme="minorHAnsi"/>
                <w:vertAlign w:val="superscript"/>
              </w:rPr>
              <w:t>2</w:t>
            </w:r>
            <w:r w:rsidRPr="00DD5ACE">
              <w:rPr>
                <w:rStyle w:val="markedcontent"/>
                <w:rFonts w:cstheme="minorHAnsi"/>
              </w:rPr>
              <w:t>.</w:t>
            </w:r>
          </w:p>
        </w:tc>
      </w:tr>
    </w:tbl>
    <w:p w14:paraId="565CA105" w14:textId="77777777" w:rsidR="00814A62" w:rsidRPr="005F2B61" w:rsidRDefault="00814A62" w:rsidP="00814A62">
      <w:pPr>
        <w:spacing w:after="0" w:line="240" w:lineRule="auto"/>
        <w:rPr>
          <w:rFonts w:eastAsia="Calibri" w:cstheme="minorHAnsi"/>
        </w:rPr>
      </w:pPr>
    </w:p>
    <w:p w14:paraId="3A9A1F33" w14:textId="6AF7F899" w:rsidR="00814A62" w:rsidRPr="00DD5ACE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>● Groupements : A, B et C</w:t>
      </w:r>
      <w:r>
        <w:rPr>
          <w:rFonts w:eastAsia="Calibri" w:cstheme="minorHAnsi"/>
          <w:b/>
          <w:bCs/>
          <w:color w:val="0070C0"/>
        </w:rPr>
        <w:t>.</w:t>
      </w:r>
    </w:p>
    <w:p w14:paraId="070CA84B" w14:textId="77777777" w:rsidR="002E59D1" w:rsidRDefault="002E59D1" w:rsidP="00814A62">
      <w:pPr>
        <w:pStyle w:val="Sansinterligne"/>
        <w:rPr>
          <w:rFonts w:cstheme="minorHAnsi"/>
        </w:rPr>
      </w:pPr>
    </w:p>
    <w:p w14:paraId="25CF80D3" w14:textId="0B3AF1C3" w:rsidR="002E59D1" w:rsidRPr="00DD5ACE" w:rsidRDefault="002E59D1" w:rsidP="00814A62">
      <w:pPr>
        <w:pStyle w:val="Sansinterligne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Activité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2481AEC3" w14:textId="3B043498" w:rsidR="00CA66CD" w:rsidRPr="00DD5ACE" w:rsidRDefault="19738646" w:rsidP="00DD5ACE">
      <w:pPr>
        <w:pStyle w:val="Titre1"/>
        <w:jc w:val="center"/>
        <w:rPr>
          <w:rFonts w:cstheme="minorHAnsi"/>
          <w:b w:val="0"/>
          <w:bCs w:val="0"/>
        </w:rPr>
      </w:pPr>
      <w:r w:rsidRPr="19738646">
        <w:rPr>
          <w:rFonts w:asciiTheme="minorHAnsi" w:hAnsiTheme="minorHAnsi" w:cstheme="minorBidi"/>
        </w:rPr>
        <w:t>Journée internationale contre l’homophobie, la transphobie et la biphobie</w:t>
      </w:r>
    </w:p>
    <w:p w14:paraId="4B8C4502" w14:textId="5D3B730D" w:rsidR="19738646" w:rsidRPr="00D20BBD" w:rsidRDefault="19738646" w:rsidP="19738646">
      <w:pPr>
        <w:pStyle w:val="Titre1"/>
        <w:jc w:val="center"/>
        <w:rPr>
          <w:rFonts w:asciiTheme="minorHAnsi" w:hAnsiTheme="minorHAnsi" w:cstheme="minorBidi"/>
          <w:sz w:val="24"/>
          <w:szCs w:val="24"/>
        </w:rPr>
      </w:pPr>
    </w:p>
    <w:p w14:paraId="2552EC45" w14:textId="0D93FB41" w:rsidR="00CA66CD" w:rsidRPr="00201F28" w:rsidRDefault="00CA66CD" w:rsidP="00DD5ACE">
      <w:pPr>
        <w:pStyle w:val="fr-text--lead"/>
        <w:jc w:val="both"/>
        <w:rPr>
          <w:rFonts w:cstheme="minorHAnsi"/>
        </w:rPr>
      </w:pPr>
      <w:r w:rsidRPr="00DD5ACE">
        <w:rPr>
          <w:rFonts w:asciiTheme="minorHAnsi" w:hAnsiTheme="minorHAnsi" w:cstheme="minorHAnsi"/>
          <w:sz w:val="22"/>
          <w:szCs w:val="22"/>
        </w:rPr>
        <w:t xml:space="preserve">La journée du </w:t>
      </w:r>
      <w:r w:rsidRPr="00DD5ACE">
        <w:rPr>
          <w:rFonts w:asciiTheme="minorHAnsi" w:hAnsiTheme="minorHAnsi" w:cstheme="minorHAnsi"/>
          <w:b/>
          <w:sz w:val="22"/>
          <w:szCs w:val="22"/>
        </w:rPr>
        <w:t>17 mai</w:t>
      </w:r>
      <w:r w:rsidRPr="00DD5ACE">
        <w:rPr>
          <w:rFonts w:asciiTheme="minorHAnsi" w:hAnsiTheme="minorHAnsi" w:cstheme="minorHAnsi"/>
          <w:sz w:val="22"/>
          <w:szCs w:val="22"/>
        </w:rPr>
        <w:t xml:space="preserve"> est là pour nous rappeler l’ensemble des actions en faveur des droits et de la protection des personnes LGBT. Partout dans le monde, </w:t>
      </w:r>
      <w:hyperlink r:id="rId9" w:history="1">
        <w:r w:rsidRPr="00132957">
          <w:rPr>
            <w:rStyle w:val="Lienhypertexte"/>
            <w:rFonts w:asciiTheme="minorHAnsi" w:hAnsiTheme="minorHAnsi" w:cstheme="minorHAnsi"/>
            <w:sz w:val="22"/>
            <w:szCs w:val="22"/>
          </w:rPr>
          <w:t>le</w:t>
        </w:r>
        <w:r w:rsidR="00132957" w:rsidRPr="00132957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17 mai est une journée de sensibilisation et de prévention</w:t>
        </w:r>
      </w:hyperlink>
      <w:r w:rsidRPr="00DD5ACE">
        <w:rPr>
          <w:rFonts w:asciiTheme="minorHAnsi" w:hAnsiTheme="minorHAnsi" w:cstheme="minorHAnsi"/>
          <w:sz w:val="22"/>
          <w:szCs w:val="22"/>
        </w:rPr>
        <w:t xml:space="preserve"> pour agir contre la violence sous toutes ses formes et en tou</w:t>
      </w:r>
      <w:r w:rsidR="009928FF">
        <w:rPr>
          <w:rFonts w:asciiTheme="minorHAnsi" w:hAnsiTheme="minorHAnsi" w:cstheme="minorHAnsi"/>
          <w:sz w:val="22"/>
          <w:szCs w:val="22"/>
        </w:rPr>
        <w:t>t</w:t>
      </w:r>
      <w:r w:rsidRPr="00DD5ACE">
        <w:rPr>
          <w:rFonts w:asciiTheme="minorHAnsi" w:hAnsiTheme="minorHAnsi" w:cstheme="minorHAnsi"/>
          <w:sz w:val="22"/>
          <w:szCs w:val="22"/>
        </w:rPr>
        <w:t xml:space="preserve"> lieu (physique, psychologique, sexuelle, médicale, sociale, institutionnelle...) envers l'</w:t>
      </w:r>
      <w:r w:rsidRPr="00DD5ACE">
        <w:rPr>
          <w:rFonts w:asciiTheme="minorHAnsi" w:hAnsiTheme="minorHAnsi" w:cstheme="minorHAnsi"/>
          <w:b/>
          <w:sz w:val="22"/>
          <w:szCs w:val="22"/>
        </w:rPr>
        <w:t>homophobie</w:t>
      </w:r>
      <w:r w:rsidRPr="00DD5ACE">
        <w:rPr>
          <w:rFonts w:asciiTheme="minorHAnsi" w:hAnsiTheme="minorHAnsi" w:cstheme="minorHAnsi"/>
          <w:sz w:val="22"/>
          <w:szCs w:val="22"/>
        </w:rPr>
        <w:t xml:space="preserve">, la </w:t>
      </w:r>
      <w:r w:rsidRPr="00DD5ACE">
        <w:rPr>
          <w:rFonts w:asciiTheme="minorHAnsi" w:hAnsiTheme="minorHAnsi" w:cstheme="minorHAnsi"/>
          <w:b/>
          <w:sz w:val="22"/>
          <w:szCs w:val="22"/>
        </w:rPr>
        <w:t>lesbophobie</w:t>
      </w:r>
      <w:r w:rsidRPr="00DD5ACE">
        <w:rPr>
          <w:rFonts w:asciiTheme="minorHAnsi" w:hAnsiTheme="minorHAnsi" w:cstheme="minorHAnsi"/>
          <w:sz w:val="22"/>
          <w:szCs w:val="22"/>
        </w:rPr>
        <w:t xml:space="preserve">, la </w:t>
      </w:r>
      <w:r w:rsidRPr="00DD5ACE">
        <w:rPr>
          <w:rFonts w:asciiTheme="minorHAnsi" w:hAnsiTheme="minorHAnsi" w:cstheme="minorHAnsi"/>
          <w:b/>
          <w:sz w:val="22"/>
          <w:szCs w:val="22"/>
        </w:rPr>
        <w:t>biphobie</w:t>
      </w:r>
      <w:r w:rsidRPr="00DD5ACE">
        <w:rPr>
          <w:rFonts w:asciiTheme="minorHAnsi" w:hAnsiTheme="minorHAnsi" w:cstheme="minorHAnsi"/>
          <w:sz w:val="22"/>
          <w:szCs w:val="22"/>
        </w:rPr>
        <w:t xml:space="preserve"> et la </w:t>
      </w:r>
      <w:r w:rsidRPr="00DD5ACE">
        <w:rPr>
          <w:rFonts w:asciiTheme="minorHAnsi" w:hAnsiTheme="minorHAnsi" w:cstheme="minorHAnsi"/>
          <w:b/>
          <w:sz w:val="22"/>
          <w:szCs w:val="22"/>
        </w:rPr>
        <w:t>transphobie</w:t>
      </w:r>
      <w:r w:rsidRPr="00DD5ACE">
        <w:rPr>
          <w:rFonts w:asciiTheme="minorHAnsi" w:hAnsiTheme="minorHAnsi" w:cstheme="minorHAnsi"/>
          <w:sz w:val="22"/>
          <w:szCs w:val="22"/>
        </w:rPr>
        <w:t>.</w:t>
      </w:r>
    </w:p>
    <w:p w14:paraId="7BC32C97" w14:textId="30C5F69F" w:rsidR="00CA66CD" w:rsidRPr="00201F28" w:rsidRDefault="00CA66CD" w:rsidP="00DD5ACE">
      <w:pPr>
        <w:pStyle w:val="fr-text--lead"/>
        <w:spacing w:after="0" w:afterAutospacing="0"/>
        <w:jc w:val="both"/>
        <w:rPr>
          <w:rFonts w:cstheme="minorHAnsi"/>
        </w:rPr>
      </w:pPr>
      <w:r w:rsidRPr="00DD5ACE">
        <w:rPr>
          <w:rFonts w:asciiTheme="minorHAnsi" w:hAnsiTheme="minorHAnsi" w:cstheme="minorHAnsi"/>
          <w:sz w:val="22"/>
          <w:szCs w:val="22"/>
        </w:rPr>
        <w:t>Cette journée milite pour l'information, l'éducation, la compréhension de la réalité LGBT par le biais d'événements diversifiés : défilés, manifestations, expositions, happenings conférences, échanges</w:t>
      </w:r>
      <w:r w:rsidR="009928FF">
        <w:rPr>
          <w:rFonts w:asciiTheme="minorHAnsi" w:hAnsiTheme="minorHAnsi" w:cstheme="minorHAnsi"/>
          <w:sz w:val="22"/>
          <w:szCs w:val="22"/>
        </w:rPr>
        <w:t xml:space="preserve"> etc.</w:t>
      </w:r>
      <w:r w:rsidRPr="00DD5A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92A18F" w14:textId="0F14D66C" w:rsidR="00CA66CD" w:rsidRPr="00DD5ACE" w:rsidRDefault="00CA66CD" w:rsidP="00DD5ACE">
      <w:pPr>
        <w:pStyle w:val="fr-text--lead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DD5ACE">
        <w:rPr>
          <w:rFonts w:asciiTheme="minorHAnsi" w:hAnsiTheme="minorHAnsi" w:cstheme="minorHAnsi"/>
          <w:sz w:val="22"/>
          <w:szCs w:val="22"/>
        </w:rPr>
        <w:t xml:space="preserve">Le 17 mai 1990, l’homosexualité est retirée de la liste des maladies mentales de l’Organisation mondiale de la </w:t>
      </w:r>
      <w:r w:rsidR="009928FF">
        <w:rPr>
          <w:rFonts w:asciiTheme="minorHAnsi" w:hAnsiTheme="minorHAnsi" w:cstheme="minorHAnsi"/>
          <w:sz w:val="22"/>
          <w:szCs w:val="22"/>
        </w:rPr>
        <w:t>S</w:t>
      </w:r>
      <w:r w:rsidRPr="00DD5ACE">
        <w:rPr>
          <w:rFonts w:asciiTheme="minorHAnsi" w:hAnsiTheme="minorHAnsi" w:cstheme="minorHAnsi"/>
          <w:sz w:val="22"/>
          <w:szCs w:val="22"/>
        </w:rPr>
        <w:t>anté (OMS).</w:t>
      </w:r>
    </w:p>
    <w:tbl>
      <w:tblPr>
        <w:tblStyle w:val="Grilledutableau"/>
        <w:tblpPr w:leftFromText="141" w:rightFromText="141" w:vertAnchor="text" w:horzAnchor="margin" w:tblpXSpec="center" w:tblpY="774"/>
        <w:tblW w:w="0" w:type="auto"/>
        <w:tblLook w:val="04A0" w:firstRow="1" w:lastRow="0" w:firstColumn="1" w:lastColumn="0" w:noHBand="0" w:noVBand="1"/>
      </w:tblPr>
      <w:tblGrid>
        <w:gridCol w:w="1696"/>
        <w:gridCol w:w="1072"/>
        <w:gridCol w:w="1073"/>
        <w:gridCol w:w="1073"/>
        <w:gridCol w:w="1072"/>
        <w:gridCol w:w="1073"/>
        <w:gridCol w:w="1073"/>
        <w:gridCol w:w="1073"/>
      </w:tblGrid>
      <w:tr w:rsidR="007E5371" w:rsidRPr="0072397A" w14:paraId="72496FA7" w14:textId="6055AA6C" w:rsidTr="007E5371">
        <w:trPr>
          <w:trHeight w:val="155"/>
        </w:trPr>
        <w:tc>
          <w:tcPr>
            <w:tcW w:w="1696" w:type="dxa"/>
            <w:vAlign w:val="center"/>
          </w:tcPr>
          <w:p w14:paraId="163D9B3C" w14:textId="77777777" w:rsidR="007E5371" w:rsidRPr="0072397A" w:rsidRDefault="007E5371" w:rsidP="00DD5ACE">
            <w:pPr>
              <w:jc w:val="both"/>
              <w:rPr>
                <w:rFonts w:cstheme="minorHAnsi"/>
              </w:rPr>
            </w:pPr>
            <w:r w:rsidRPr="0072397A">
              <w:rPr>
                <w:rFonts w:cstheme="minorHAnsi"/>
              </w:rPr>
              <w:t>Année</w:t>
            </w:r>
          </w:p>
        </w:tc>
        <w:tc>
          <w:tcPr>
            <w:tcW w:w="1072" w:type="dxa"/>
            <w:vAlign w:val="center"/>
          </w:tcPr>
          <w:p w14:paraId="54791600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2016</w:t>
            </w:r>
          </w:p>
        </w:tc>
        <w:tc>
          <w:tcPr>
            <w:tcW w:w="1073" w:type="dxa"/>
            <w:vAlign w:val="center"/>
          </w:tcPr>
          <w:p w14:paraId="444DE999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2017</w:t>
            </w:r>
          </w:p>
        </w:tc>
        <w:tc>
          <w:tcPr>
            <w:tcW w:w="1073" w:type="dxa"/>
            <w:vAlign w:val="center"/>
          </w:tcPr>
          <w:p w14:paraId="7C076620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2018</w:t>
            </w:r>
          </w:p>
        </w:tc>
        <w:tc>
          <w:tcPr>
            <w:tcW w:w="1072" w:type="dxa"/>
            <w:vAlign w:val="center"/>
          </w:tcPr>
          <w:p w14:paraId="42E5C7C5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2019</w:t>
            </w:r>
          </w:p>
        </w:tc>
        <w:tc>
          <w:tcPr>
            <w:tcW w:w="1073" w:type="dxa"/>
            <w:vAlign w:val="center"/>
          </w:tcPr>
          <w:p w14:paraId="042DAB02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2020</w:t>
            </w:r>
          </w:p>
        </w:tc>
        <w:tc>
          <w:tcPr>
            <w:tcW w:w="1073" w:type="dxa"/>
            <w:vAlign w:val="center"/>
          </w:tcPr>
          <w:p w14:paraId="6706286B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2021</w:t>
            </w:r>
          </w:p>
        </w:tc>
        <w:tc>
          <w:tcPr>
            <w:tcW w:w="1073" w:type="dxa"/>
          </w:tcPr>
          <w:p w14:paraId="5177CDD8" w14:textId="28D7898B" w:rsidR="007E5371" w:rsidRPr="0072397A" w:rsidRDefault="007E5371" w:rsidP="00DD5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7E5371" w:rsidRPr="0072397A" w14:paraId="2B7C8F6A" w14:textId="7C20C4C9" w:rsidTr="007E5371">
        <w:trPr>
          <w:trHeight w:val="149"/>
        </w:trPr>
        <w:tc>
          <w:tcPr>
            <w:tcW w:w="1696" w:type="dxa"/>
            <w:vAlign w:val="center"/>
          </w:tcPr>
          <w:p w14:paraId="064D5142" w14:textId="77777777" w:rsidR="007E5371" w:rsidRPr="0072397A" w:rsidRDefault="007E5371" w:rsidP="00DD5ACE">
            <w:pPr>
              <w:jc w:val="both"/>
              <w:rPr>
                <w:rFonts w:cstheme="minorHAnsi"/>
              </w:rPr>
            </w:pPr>
            <w:r w:rsidRPr="0072397A">
              <w:rPr>
                <w:rFonts w:cstheme="minorHAnsi"/>
              </w:rPr>
              <w:t xml:space="preserve">Rang </w:t>
            </w:r>
          </w:p>
        </w:tc>
        <w:tc>
          <w:tcPr>
            <w:tcW w:w="1072" w:type="dxa"/>
            <w:vAlign w:val="center"/>
          </w:tcPr>
          <w:p w14:paraId="5F33008E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1</w:t>
            </w:r>
          </w:p>
        </w:tc>
        <w:tc>
          <w:tcPr>
            <w:tcW w:w="1073" w:type="dxa"/>
            <w:vAlign w:val="center"/>
          </w:tcPr>
          <w:p w14:paraId="42A92E8A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</w:t>
            </w:r>
          </w:p>
        </w:tc>
        <w:tc>
          <w:tcPr>
            <w:tcW w:w="1073" w:type="dxa"/>
            <w:vAlign w:val="center"/>
          </w:tcPr>
          <w:p w14:paraId="6F6B2DA3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3</w:t>
            </w:r>
          </w:p>
        </w:tc>
        <w:tc>
          <w:tcPr>
            <w:tcW w:w="1072" w:type="dxa"/>
            <w:vAlign w:val="center"/>
          </w:tcPr>
          <w:p w14:paraId="7DC2A752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4</w:t>
            </w:r>
          </w:p>
        </w:tc>
        <w:tc>
          <w:tcPr>
            <w:tcW w:w="1073" w:type="dxa"/>
            <w:vAlign w:val="center"/>
          </w:tcPr>
          <w:p w14:paraId="2F99DE37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5</w:t>
            </w:r>
          </w:p>
        </w:tc>
        <w:tc>
          <w:tcPr>
            <w:tcW w:w="1073" w:type="dxa"/>
            <w:vAlign w:val="center"/>
          </w:tcPr>
          <w:p w14:paraId="3CEEAD56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6</w:t>
            </w:r>
          </w:p>
        </w:tc>
        <w:tc>
          <w:tcPr>
            <w:tcW w:w="1073" w:type="dxa"/>
          </w:tcPr>
          <w:p w14:paraId="102A53C0" w14:textId="6FC46CE4" w:rsidR="007E5371" w:rsidRPr="0072397A" w:rsidRDefault="007E5371" w:rsidP="00DD5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E5371" w:rsidRPr="0072397A" w14:paraId="176D47B3" w14:textId="42DBA2A0" w:rsidTr="007E5371">
        <w:trPr>
          <w:trHeight w:val="460"/>
        </w:trPr>
        <w:tc>
          <w:tcPr>
            <w:tcW w:w="1696" w:type="dxa"/>
            <w:vAlign w:val="center"/>
          </w:tcPr>
          <w:p w14:paraId="6496A0CF" w14:textId="541FCBFF" w:rsidR="007E5371" w:rsidRPr="0072397A" w:rsidRDefault="007E5371" w:rsidP="00DD5ACE">
            <w:pPr>
              <w:jc w:val="both"/>
              <w:rPr>
                <w:rFonts w:cstheme="minorHAnsi"/>
              </w:rPr>
            </w:pPr>
            <w:r w:rsidRPr="0072397A">
              <w:rPr>
                <w:rFonts w:cstheme="minorHAnsi"/>
              </w:rPr>
              <w:t>Nombre d’atteinte</w:t>
            </w:r>
            <w:r>
              <w:rPr>
                <w:rFonts w:cstheme="minorHAnsi"/>
              </w:rPr>
              <w:t>s</w:t>
            </w:r>
            <w:r w:rsidRPr="0072397A">
              <w:rPr>
                <w:rFonts w:cstheme="minorHAnsi"/>
              </w:rPr>
              <w:t xml:space="preserve"> LGBT </w:t>
            </w:r>
          </w:p>
        </w:tc>
        <w:tc>
          <w:tcPr>
            <w:tcW w:w="1072" w:type="dxa"/>
            <w:vAlign w:val="center"/>
          </w:tcPr>
          <w:p w14:paraId="01A41419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1760</w:t>
            </w:r>
          </w:p>
        </w:tc>
        <w:tc>
          <w:tcPr>
            <w:tcW w:w="1073" w:type="dxa"/>
            <w:vAlign w:val="center"/>
          </w:tcPr>
          <w:p w14:paraId="0EA3AFF8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1882</w:t>
            </w:r>
          </w:p>
        </w:tc>
        <w:tc>
          <w:tcPr>
            <w:tcW w:w="1073" w:type="dxa"/>
            <w:vAlign w:val="center"/>
          </w:tcPr>
          <w:p w14:paraId="38A26901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2371</w:t>
            </w:r>
          </w:p>
        </w:tc>
        <w:tc>
          <w:tcPr>
            <w:tcW w:w="1072" w:type="dxa"/>
            <w:vAlign w:val="center"/>
          </w:tcPr>
          <w:p w14:paraId="49A31B46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3169</w:t>
            </w:r>
          </w:p>
        </w:tc>
        <w:tc>
          <w:tcPr>
            <w:tcW w:w="1073" w:type="dxa"/>
            <w:vAlign w:val="center"/>
          </w:tcPr>
          <w:p w14:paraId="115A2EBD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3096</w:t>
            </w:r>
          </w:p>
        </w:tc>
        <w:tc>
          <w:tcPr>
            <w:tcW w:w="1073" w:type="dxa"/>
            <w:vAlign w:val="center"/>
          </w:tcPr>
          <w:p w14:paraId="4BBFC820" w14:textId="77777777" w:rsidR="007E5371" w:rsidRPr="0072397A" w:rsidRDefault="007E5371" w:rsidP="00DD5ACE">
            <w:pPr>
              <w:jc w:val="center"/>
              <w:rPr>
                <w:rFonts w:cstheme="minorHAnsi"/>
              </w:rPr>
            </w:pPr>
            <w:r w:rsidRPr="0072397A">
              <w:rPr>
                <w:rFonts w:cstheme="minorHAnsi"/>
              </w:rPr>
              <w:t>3791</w:t>
            </w:r>
          </w:p>
        </w:tc>
        <w:tc>
          <w:tcPr>
            <w:tcW w:w="1073" w:type="dxa"/>
            <w:vAlign w:val="center"/>
          </w:tcPr>
          <w:p w14:paraId="7EFA9E9A" w14:textId="55D5B82D" w:rsidR="007E5371" w:rsidRPr="0072397A" w:rsidRDefault="007E5371" w:rsidP="00DD5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4040</w:t>
            </w:r>
          </w:p>
        </w:tc>
      </w:tr>
    </w:tbl>
    <w:p w14:paraId="1B26233E" w14:textId="400C6521" w:rsidR="003E2490" w:rsidRPr="0072397A" w:rsidRDefault="003E2490" w:rsidP="00DD5ACE">
      <w:pPr>
        <w:jc w:val="both"/>
        <w:rPr>
          <w:rFonts w:cstheme="minorHAnsi"/>
        </w:rPr>
      </w:pPr>
      <w:r w:rsidRPr="0072397A">
        <w:rPr>
          <w:rFonts w:cstheme="minorHAnsi"/>
        </w:rPr>
        <w:t>Chaque année depuis 2016, le ministère de l’</w:t>
      </w:r>
      <w:r w:rsidR="00DD5ACE">
        <w:rPr>
          <w:rFonts w:cstheme="minorHAnsi"/>
        </w:rPr>
        <w:t>I</w:t>
      </w:r>
      <w:r w:rsidRPr="0072397A">
        <w:rPr>
          <w:rFonts w:cstheme="minorHAnsi"/>
        </w:rPr>
        <w:t xml:space="preserve">ntérieur publie les chiffres des atteintes anti-LGBT. </w:t>
      </w:r>
      <w:r w:rsidR="00917C43" w:rsidRPr="0072397A">
        <w:rPr>
          <w:rFonts w:cstheme="minorHAnsi"/>
        </w:rPr>
        <w:t>Ils</w:t>
      </w:r>
      <w:r w:rsidRPr="0072397A">
        <w:rPr>
          <w:rFonts w:cstheme="minorHAnsi"/>
        </w:rPr>
        <w:t xml:space="preserve"> ont été regroupé</w:t>
      </w:r>
      <w:r w:rsidR="00917C43" w:rsidRPr="0072397A">
        <w:rPr>
          <w:rFonts w:cstheme="minorHAnsi"/>
        </w:rPr>
        <w:t>s</w:t>
      </w:r>
      <w:r w:rsidRPr="0072397A">
        <w:rPr>
          <w:rFonts w:cstheme="minorHAnsi"/>
        </w:rPr>
        <w:t xml:space="preserve"> dans le tableau ci-dessous. </w:t>
      </w:r>
    </w:p>
    <w:p w14:paraId="54C6F717" w14:textId="2BD7C6BB" w:rsidR="003E2490" w:rsidRPr="00DD5ACE" w:rsidRDefault="00CA66CD" w:rsidP="00A256FA">
      <w:pPr>
        <w:spacing w:after="0"/>
        <w:rPr>
          <w:color w:val="BFBFBF" w:themeColor="background1" w:themeShade="BF"/>
        </w:rPr>
      </w:pPr>
      <w:r w:rsidRPr="00DD5ACE">
        <w:rPr>
          <w:color w:val="BFBFBF" w:themeColor="background1" w:themeShade="BF"/>
        </w:rPr>
        <w:t>Source : https://fr.statista.com/statistiques/1308934/evolution-atteinte-anti-lgbt/</w:t>
      </w:r>
    </w:p>
    <w:p w14:paraId="69E5B15A" w14:textId="77777777" w:rsidR="009928FF" w:rsidRDefault="009928FF" w:rsidP="00516172">
      <w:pPr>
        <w:rPr>
          <w:b/>
          <w:bCs/>
        </w:rPr>
      </w:pPr>
    </w:p>
    <w:p w14:paraId="570985BA" w14:textId="67187982" w:rsidR="00F53FE2" w:rsidRPr="0072397A" w:rsidRDefault="003E2490" w:rsidP="00516172">
      <w:pPr>
        <w:rPr>
          <w:b/>
          <w:bCs/>
        </w:rPr>
      </w:pPr>
      <w:r w:rsidRPr="0072397A">
        <w:rPr>
          <w:b/>
          <w:bCs/>
        </w:rPr>
        <w:t xml:space="preserve">Problématique : </w:t>
      </w:r>
      <w:r w:rsidR="00324DED" w:rsidRPr="0072397A">
        <w:rPr>
          <w:b/>
          <w:bCs/>
        </w:rPr>
        <w:t>Comment est-il possible d’estimer le nombre d’atteintes anti-LGBT qui sera</w:t>
      </w:r>
      <w:r w:rsidR="00231591">
        <w:rPr>
          <w:b/>
          <w:bCs/>
        </w:rPr>
        <w:t>it</w:t>
      </w:r>
      <w:r w:rsidR="00324DED" w:rsidRPr="0072397A">
        <w:rPr>
          <w:b/>
          <w:bCs/>
        </w:rPr>
        <w:t xml:space="preserve"> enregistré en 2024 ?</w:t>
      </w:r>
    </w:p>
    <w:p w14:paraId="50C530DC" w14:textId="4FCED8A6" w:rsidR="00324DED" w:rsidRDefault="19738646" w:rsidP="19738646">
      <w:pPr>
        <w:rPr>
          <w:b/>
          <w:bCs/>
          <w:sz w:val="24"/>
          <w:szCs w:val="24"/>
        </w:rPr>
      </w:pPr>
      <w:r w:rsidRPr="19738646">
        <w:rPr>
          <w:b/>
          <w:bCs/>
          <w:sz w:val="24"/>
          <w:szCs w:val="24"/>
        </w:rPr>
        <w:t>Proposition de questionnement pour une activité élèves</w:t>
      </w:r>
    </w:p>
    <w:p w14:paraId="4D5A319E" w14:textId="77777777" w:rsidR="00762C12" w:rsidRPr="00DD5ACE" w:rsidRDefault="00762C12" w:rsidP="19738646">
      <w:pPr>
        <w:rPr>
          <w:b/>
          <w:bCs/>
          <w:sz w:val="24"/>
          <w:szCs w:val="24"/>
        </w:rPr>
      </w:pPr>
    </w:p>
    <w:p w14:paraId="49AE3FB4" w14:textId="3FB8A6D6" w:rsidR="0072397A" w:rsidRDefault="004F6365" w:rsidP="0072397A">
      <w:pPr>
        <w:pStyle w:val="Paragraphedeliste"/>
        <w:numPr>
          <w:ilvl w:val="0"/>
          <w:numId w:val="4"/>
        </w:numPr>
        <w:spacing w:after="0"/>
        <w:jc w:val="both"/>
      </w:pPr>
      <w:r w:rsidRPr="0072397A">
        <w:t>D</w:t>
      </w:r>
      <w:r w:rsidR="002D6328" w:rsidRPr="0072397A">
        <w:t xml:space="preserve">écrire l’évolution du nombre d’atteintes anti-LGBT </w:t>
      </w:r>
      <w:r w:rsidR="00630FDF" w:rsidRPr="0072397A">
        <w:t>depuis 2016</w:t>
      </w:r>
      <w:r w:rsidR="005B78E0" w:rsidRPr="0072397A">
        <w:t xml:space="preserve">. </w:t>
      </w:r>
    </w:p>
    <w:p w14:paraId="279980E5" w14:textId="71043691" w:rsidR="00324DED" w:rsidRPr="0072397A" w:rsidRDefault="00630FDF" w:rsidP="00DD5ACE">
      <w:pPr>
        <w:pStyle w:val="Paragraphedeliste"/>
        <w:spacing w:after="0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79A7D" w14:textId="46722AD7" w:rsidR="000A42BD" w:rsidRPr="0072397A" w:rsidRDefault="000A42BD" w:rsidP="00DD5ACE">
      <w:pPr>
        <w:pStyle w:val="Paragraphedeliste"/>
        <w:spacing w:after="0"/>
        <w:jc w:val="both"/>
      </w:pPr>
    </w:p>
    <w:p w14:paraId="7AAE303F" w14:textId="6189C845" w:rsidR="00324DED" w:rsidRPr="0072397A" w:rsidRDefault="000A42BD" w:rsidP="00DD5ACE">
      <w:pPr>
        <w:pStyle w:val="Paragraphedeliste"/>
        <w:numPr>
          <w:ilvl w:val="0"/>
          <w:numId w:val="4"/>
        </w:numPr>
        <w:spacing w:after="0"/>
        <w:jc w:val="both"/>
      </w:pPr>
      <w:r w:rsidRPr="0072397A">
        <w:t xml:space="preserve">Proposer une méthode permettant d’estimer le nombre d’atteintes anti-LGBT </w:t>
      </w:r>
      <w:r w:rsidR="00324DED" w:rsidRPr="0072397A">
        <w:t>pour les années à venir</w:t>
      </w:r>
      <w:r w:rsidRPr="0072397A">
        <w:t xml:space="preserve"> en supposant que l’évolution constatée entre 2016 et 202</w:t>
      </w:r>
      <w:r w:rsidR="00F02BED">
        <w:t>2</w:t>
      </w:r>
      <w:bookmarkStart w:id="0" w:name="_GoBack"/>
      <w:bookmarkEnd w:id="0"/>
      <w:r w:rsidRPr="0072397A">
        <w:t xml:space="preserve"> se poursuive</w:t>
      </w:r>
      <w:r w:rsidR="00324DED" w:rsidRPr="0072397A">
        <w:t>.</w:t>
      </w:r>
    </w:p>
    <w:p w14:paraId="030F786F" w14:textId="77777777" w:rsidR="00324DED" w:rsidRPr="0072397A" w:rsidRDefault="00516172" w:rsidP="00DD5ACE">
      <w:pPr>
        <w:pStyle w:val="Paragraphedeliste"/>
        <w:spacing w:after="0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790E9" w14:textId="77777777" w:rsidR="00A256FA" w:rsidRPr="0072397A" w:rsidRDefault="00A256FA" w:rsidP="00DD5ACE">
      <w:pPr>
        <w:pStyle w:val="Paragraphedeliste"/>
        <w:spacing w:after="0"/>
        <w:jc w:val="both"/>
      </w:pPr>
    </w:p>
    <w:p w14:paraId="78AA1977" w14:textId="15F006BD" w:rsidR="00A256FA" w:rsidRPr="0072397A" w:rsidRDefault="00516172" w:rsidP="00DD5ACE">
      <w:pPr>
        <w:pStyle w:val="Paragraphedeliste"/>
        <w:numPr>
          <w:ilvl w:val="0"/>
          <w:numId w:val="4"/>
        </w:numPr>
        <w:jc w:val="both"/>
      </w:pPr>
      <w:r w:rsidRPr="0072397A">
        <w:t xml:space="preserve">À l’aide d’un outil numérique, </w:t>
      </w:r>
      <w:r w:rsidR="00324DED" w:rsidRPr="0072397A">
        <w:t xml:space="preserve">représenter </w:t>
      </w:r>
      <w:r w:rsidRPr="0072397A">
        <w:t xml:space="preserve">le nuage de points </w:t>
      </w:r>
      <w:r w:rsidR="00324DED" w:rsidRPr="0072397A">
        <w:t>du</w:t>
      </w:r>
      <w:r w:rsidRPr="0072397A">
        <w:t xml:space="preserve"> nombre d’atteintes anti-LGBT </w:t>
      </w:r>
      <w:r w:rsidR="00324DED" w:rsidRPr="0072397A">
        <w:t xml:space="preserve">enregistrées </w:t>
      </w:r>
      <w:r w:rsidRPr="0072397A">
        <w:t>en fonction du rang de l’année.</w:t>
      </w:r>
    </w:p>
    <w:p w14:paraId="6685FA55" w14:textId="77777777" w:rsidR="00324DED" w:rsidRPr="0072397A" w:rsidRDefault="00324DED" w:rsidP="00DD5ACE">
      <w:pPr>
        <w:pStyle w:val="Paragraphedeliste"/>
        <w:jc w:val="both"/>
      </w:pPr>
    </w:p>
    <w:p w14:paraId="6888FB68" w14:textId="49D9B24B" w:rsidR="00324DED" w:rsidRPr="0072397A" w:rsidRDefault="00324DED" w:rsidP="00DD5ACE">
      <w:pPr>
        <w:pStyle w:val="Paragraphedeliste"/>
        <w:numPr>
          <w:ilvl w:val="0"/>
          <w:numId w:val="4"/>
        </w:numPr>
        <w:jc w:val="both"/>
      </w:pPr>
      <w:r w:rsidRPr="0072397A">
        <w:t xml:space="preserve">Un </w:t>
      </w:r>
      <w:r w:rsidR="00516172" w:rsidRPr="0072397A">
        <w:t xml:space="preserve">ajustement affine </w:t>
      </w:r>
      <w:r w:rsidRPr="0072397A">
        <w:t xml:space="preserve">vous </w:t>
      </w:r>
      <w:r w:rsidR="00516172" w:rsidRPr="0072397A">
        <w:t>paraît</w:t>
      </w:r>
      <w:r w:rsidRPr="0072397A">
        <w:t xml:space="preserve">-il </w:t>
      </w:r>
      <w:r w:rsidR="00516172" w:rsidRPr="0072397A">
        <w:t>envisageable pour modéliser la situation</w:t>
      </w:r>
      <w:r w:rsidR="00DD5ACE">
        <w:t> ?</w:t>
      </w:r>
      <w:r w:rsidRPr="0072397A">
        <w:t xml:space="preserve"> Justifier votre réponse.</w:t>
      </w:r>
    </w:p>
    <w:p w14:paraId="2534F464" w14:textId="420A1D9C" w:rsidR="00F53FE2" w:rsidRPr="0072397A" w:rsidRDefault="0051617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EE7A8" w14:textId="6CE2E5EE" w:rsidR="00516172" w:rsidRPr="0072397A" w:rsidRDefault="00516172" w:rsidP="00DD5ACE">
      <w:pPr>
        <w:pStyle w:val="Paragraphedeliste"/>
        <w:jc w:val="both"/>
      </w:pPr>
    </w:p>
    <w:p w14:paraId="27DA1525" w14:textId="70A3D53A" w:rsidR="00324DED" w:rsidRPr="0072397A" w:rsidRDefault="00516172" w:rsidP="00DD5ACE">
      <w:pPr>
        <w:pStyle w:val="Paragraphedeliste"/>
        <w:numPr>
          <w:ilvl w:val="0"/>
          <w:numId w:val="4"/>
        </w:numPr>
        <w:jc w:val="both"/>
      </w:pPr>
      <w:r w:rsidRPr="0072397A">
        <w:t xml:space="preserve">Tracer la droite d’ajustement affine </w:t>
      </w:r>
      <w:r w:rsidR="00324DED" w:rsidRPr="0072397A">
        <w:t>modélisant la situation</w:t>
      </w:r>
      <w:r w:rsidRPr="0072397A">
        <w:t xml:space="preserve"> en utilisant un outil numérique.</w:t>
      </w:r>
    </w:p>
    <w:p w14:paraId="1E01CD88" w14:textId="77777777" w:rsidR="00A256FA" w:rsidRPr="0072397A" w:rsidRDefault="00A256FA" w:rsidP="00DD5ACE">
      <w:pPr>
        <w:pStyle w:val="Paragraphedeliste"/>
        <w:jc w:val="both"/>
      </w:pPr>
    </w:p>
    <w:p w14:paraId="44D3303C" w14:textId="44160D69" w:rsidR="00516172" w:rsidRDefault="00516172" w:rsidP="00DD5ACE">
      <w:pPr>
        <w:pStyle w:val="Paragraphedeliste"/>
        <w:numPr>
          <w:ilvl w:val="0"/>
          <w:numId w:val="4"/>
        </w:numPr>
        <w:spacing w:after="0"/>
        <w:jc w:val="both"/>
      </w:pPr>
      <w:r w:rsidRPr="0072397A">
        <w:t>Donner l’équation de cette droite d’ajustement.</w:t>
      </w:r>
    </w:p>
    <w:p w14:paraId="27FAB3FC" w14:textId="1A061B9F" w:rsidR="00516172" w:rsidRDefault="0051617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7D6382AF" w14:textId="77777777" w:rsidR="00DD5ACE" w:rsidRPr="0072397A" w:rsidRDefault="00DD5ACE" w:rsidP="00DD5ACE">
      <w:pPr>
        <w:pStyle w:val="Paragraphedeliste"/>
        <w:jc w:val="both"/>
      </w:pPr>
    </w:p>
    <w:p w14:paraId="71C11341" w14:textId="673C579D" w:rsidR="00231591" w:rsidRDefault="00516172" w:rsidP="00231591">
      <w:pPr>
        <w:pStyle w:val="Paragraphedeliste"/>
        <w:numPr>
          <w:ilvl w:val="0"/>
          <w:numId w:val="4"/>
        </w:numPr>
        <w:spacing w:after="0"/>
        <w:jc w:val="both"/>
      </w:pPr>
      <w:r w:rsidRPr="0072397A">
        <w:t>Déterminer, avec ce même outil numérique, le coefficient de détermination R². En déduire la pertinence de l’ajustement affine.</w:t>
      </w:r>
    </w:p>
    <w:p w14:paraId="47B0A2F2" w14:textId="77777777" w:rsidR="00F53FE2" w:rsidRPr="0072397A" w:rsidRDefault="0051617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EFCB3" w14:textId="001641A8" w:rsidR="00516172" w:rsidRPr="0072397A" w:rsidRDefault="00516172" w:rsidP="00DD5ACE">
      <w:pPr>
        <w:pStyle w:val="Paragraphedeliste"/>
        <w:jc w:val="both"/>
      </w:pPr>
    </w:p>
    <w:p w14:paraId="27F39C21" w14:textId="1C2BED2E" w:rsidR="00516172" w:rsidRPr="0072397A" w:rsidRDefault="19738646" w:rsidP="19738646">
      <w:pPr>
        <w:pStyle w:val="Paragraphedeliste"/>
        <w:numPr>
          <w:ilvl w:val="0"/>
          <w:numId w:val="4"/>
        </w:numPr>
        <w:spacing w:after="0"/>
      </w:pPr>
      <w:r w:rsidRPr="19738646">
        <w:t xml:space="preserve">Déterminer graphiquement ou à l’aide de l’outil numérique le nombre d’atteintes LGBT+ prévisible en 2024 ? </w:t>
      </w:r>
    </w:p>
    <w:p w14:paraId="00DD30D7" w14:textId="6ECD5C2C" w:rsidR="00F53FE2" w:rsidRPr="0072397A" w:rsidRDefault="00A256FA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80A"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5ED8F" w14:textId="77777777" w:rsidR="00F53FE2" w:rsidRPr="0072397A" w:rsidRDefault="00F53FE2" w:rsidP="00DD5ACE">
      <w:pPr>
        <w:pStyle w:val="Paragraphedeliste"/>
        <w:jc w:val="both"/>
      </w:pPr>
    </w:p>
    <w:p w14:paraId="40A75750" w14:textId="5005569E" w:rsidR="00F53FE2" w:rsidRPr="0072397A" w:rsidRDefault="19738646" w:rsidP="00DD5ACE">
      <w:pPr>
        <w:pStyle w:val="Paragraphedeliste"/>
        <w:numPr>
          <w:ilvl w:val="0"/>
          <w:numId w:val="4"/>
        </w:numPr>
        <w:spacing w:after="0"/>
        <w:jc w:val="both"/>
      </w:pPr>
      <w:r>
        <w:t>À l’aide de l’équation de la droite d’ajustement, calculer l’estimation du nombre d’atteintes pour l’année 2024 ?</w:t>
      </w:r>
    </w:p>
    <w:p w14:paraId="30436747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DD0F5" w14:textId="6D997A5E" w:rsidR="00DD5ACE" w:rsidRDefault="00DD5ACE">
      <w:r>
        <w:br w:type="page"/>
      </w:r>
    </w:p>
    <w:p w14:paraId="25920B58" w14:textId="77777777" w:rsidR="00176D55" w:rsidRDefault="19738646" w:rsidP="00DD5ACE">
      <w:pPr>
        <w:pStyle w:val="Paragraphedeliste"/>
        <w:numPr>
          <w:ilvl w:val="0"/>
          <w:numId w:val="4"/>
        </w:numPr>
        <w:spacing w:after="0"/>
        <w:jc w:val="both"/>
      </w:pPr>
      <w:r>
        <w:lastRenderedPageBreak/>
        <w:t>Répondre à la problématique : en s’appuyant sur un modèle mathématique.</w:t>
      </w:r>
    </w:p>
    <w:p w14:paraId="211E1C06" w14:textId="77777777" w:rsidR="00176D55" w:rsidRDefault="00176D55" w:rsidP="00176D55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6D714" w14:textId="77777777" w:rsidR="00176D55" w:rsidRPr="0072397A" w:rsidRDefault="00176D55" w:rsidP="00176D55">
      <w:pPr>
        <w:pStyle w:val="Paragraphedeliste"/>
        <w:jc w:val="both"/>
      </w:pPr>
    </w:p>
    <w:p w14:paraId="2C1A6014" w14:textId="31F691B2" w:rsidR="00A256FA" w:rsidRPr="0072397A" w:rsidRDefault="19738646" w:rsidP="00DD5ACE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 Quel constat peut-on faire sur les atteintes anti-LGBT enregistrées ?</w:t>
      </w:r>
    </w:p>
    <w:p w14:paraId="2E1F14F2" w14:textId="6893CEE8" w:rsidR="00A256FA" w:rsidRPr="0072397A" w:rsidRDefault="00A256FA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15EC3" w14:textId="76DD4F9B" w:rsidR="00A256FA" w:rsidRPr="0072397A" w:rsidRDefault="00A256FA" w:rsidP="00DD5ACE">
      <w:pPr>
        <w:spacing w:after="0"/>
        <w:jc w:val="both"/>
      </w:pPr>
    </w:p>
    <w:p w14:paraId="2343D550" w14:textId="0746A98A" w:rsidR="00A256FA" w:rsidRPr="0072397A" w:rsidRDefault="19738646" w:rsidP="00DD5ACE">
      <w:pPr>
        <w:pStyle w:val="Paragraphedeliste"/>
        <w:numPr>
          <w:ilvl w:val="0"/>
          <w:numId w:val="4"/>
        </w:numPr>
        <w:jc w:val="both"/>
      </w:pPr>
      <w:r>
        <w:t xml:space="preserve">D’après vous, que pourrait-on mettre en place pour réduire le nombre d’agressions anti-LGBT dans notre établissement ? </w:t>
      </w:r>
    </w:p>
    <w:p w14:paraId="6B6CEF2D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4D208004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72DBFE3B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7CB50308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474255CC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56E251BE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4366CFAC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5A39D7AB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7813A152" w14:textId="77777777" w:rsidR="00F53FE2" w:rsidRPr="0072397A" w:rsidRDefault="00F53FE2" w:rsidP="00DD5ACE">
      <w:pPr>
        <w:pStyle w:val="Paragraphedeliste"/>
        <w:jc w:val="both"/>
      </w:pPr>
      <w:r w:rsidRPr="0072397A">
        <w:t>…………………………………………………………………………………………………………………………………………………</w:t>
      </w:r>
    </w:p>
    <w:p w14:paraId="5B96298B" w14:textId="4FBC40A2" w:rsidR="00F53FE2" w:rsidRDefault="00F53FE2">
      <w:r w:rsidRPr="0072397A">
        <w:br w:type="page"/>
      </w:r>
    </w:p>
    <w:p w14:paraId="58B04FC0" w14:textId="67B01469" w:rsidR="00176D55" w:rsidRPr="00FE0E71" w:rsidRDefault="00487705" w:rsidP="00487705">
      <w:pPr>
        <w:rPr>
          <w:rFonts w:cstheme="minorHAnsi"/>
        </w:rPr>
      </w:pPr>
      <w:r>
        <w:rPr>
          <w:rFonts w:eastAsia="Calibri" w:cstheme="minorHAnsi"/>
          <w:b/>
          <w:bCs/>
          <w:noProof/>
          <w:color w:val="0070C0"/>
          <w:lang w:eastAsia="fr-FR"/>
        </w:rPr>
        <w:lastRenderedPageBreak/>
        <w:drawing>
          <wp:anchor distT="0" distB="0" distL="114300" distR="114300" simplePos="0" relativeHeight="251671040" behindDoc="0" locked="0" layoutInCell="1" allowOverlap="1" wp14:anchorId="2F63C602" wp14:editId="4249A4C1">
            <wp:simplePos x="0" y="0"/>
            <wp:positionH relativeFrom="column">
              <wp:posOffset>5038725</wp:posOffset>
            </wp:positionH>
            <wp:positionV relativeFrom="paragraph">
              <wp:posOffset>-418465</wp:posOffset>
            </wp:positionV>
            <wp:extent cx="944245" cy="940435"/>
            <wp:effectExtent l="0" t="0" r="8255" b="0"/>
            <wp:wrapNone/>
            <wp:docPr id="1" name="Image 1" descr="Une image contenant texte, logo, Graphiqu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550588" name="Image 1" descr="Une image contenant texte, logo, Graphique, cerc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D55" w:rsidRPr="00FE0E71">
        <w:rPr>
          <w:rFonts w:eastAsia="Calibri" w:cstheme="minorHAnsi"/>
          <w:b/>
          <w:bCs/>
          <w:color w:val="0070C0"/>
        </w:rPr>
        <w:t xml:space="preserve">● </w:t>
      </w:r>
      <w:r w:rsidR="00176D55">
        <w:rPr>
          <w:rFonts w:eastAsia="Calibri" w:cstheme="minorHAnsi"/>
          <w:b/>
          <w:bCs/>
          <w:color w:val="0070C0"/>
        </w:rPr>
        <w:t>Grille de compétences</w:t>
      </w:r>
      <w:r w:rsidR="00176D55" w:rsidRPr="00FE0E71">
        <w:rPr>
          <w:rFonts w:eastAsia="Calibri" w:cstheme="minorHAnsi"/>
          <w:b/>
          <w:bCs/>
          <w:color w:val="0070C0"/>
        </w:rPr>
        <w:t> :</w:t>
      </w:r>
      <w:r w:rsidRPr="00487705">
        <w:rPr>
          <w:rFonts w:eastAsia="Calibri" w:cstheme="minorHAnsi"/>
          <w:b/>
          <w:bCs/>
          <w:noProof/>
          <w:color w:val="0070C0"/>
          <w:lang w:eastAsia="fr-FR"/>
        </w:rPr>
        <w:t xml:space="preserve"> </w:t>
      </w:r>
    </w:p>
    <w:p w14:paraId="3F41F5B4" w14:textId="690BDCFA" w:rsidR="00176D55" w:rsidRDefault="00176D55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p w14:paraId="0729650D" w14:textId="77777777" w:rsidR="00487705" w:rsidRDefault="00487705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270"/>
        <w:gridCol w:w="1222"/>
      </w:tblGrid>
      <w:tr w:rsidR="19738646" w14:paraId="5BBB8DBB" w14:textId="77777777" w:rsidTr="00762C12">
        <w:trPr>
          <w:trHeight w:val="810"/>
        </w:trPr>
        <w:tc>
          <w:tcPr>
            <w:tcW w:w="1845" w:type="dxa"/>
            <w:shd w:val="clear" w:color="auto" w:fill="5B9BD5" w:themeFill="accent5"/>
            <w:vAlign w:val="center"/>
          </w:tcPr>
          <w:p w14:paraId="6EB04C1F" w14:textId="7CA7D8AA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Compétences</w:t>
            </w:r>
          </w:p>
        </w:tc>
        <w:tc>
          <w:tcPr>
            <w:tcW w:w="6270" w:type="dxa"/>
            <w:shd w:val="clear" w:color="auto" w:fill="5B9BD5" w:themeFill="accent5"/>
            <w:vAlign w:val="center"/>
          </w:tcPr>
          <w:p w14:paraId="01A44064" w14:textId="0E26C781" w:rsidR="19738646" w:rsidRPr="00762C12" w:rsidRDefault="19738646" w:rsidP="19738646">
            <w:pPr>
              <w:ind w:firstLine="340"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Capacités</w:t>
            </w:r>
          </w:p>
        </w:tc>
        <w:tc>
          <w:tcPr>
            <w:tcW w:w="1222" w:type="dxa"/>
            <w:shd w:val="clear" w:color="auto" w:fill="5B9BD5" w:themeFill="accent5"/>
            <w:vAlign w:val="center"/>
          </w:tcPr>
          <w:p w14:paraId="5E446231" w14:textId="3F378A79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Questions</w:t>
            </w:r>
          </w:p>
        </w:tc>
      </w:tr>
      <w:tr w:rsidR="19738646" w14:paraId="481468D8" w14:textId="77777777" w:rsidTr="00762C12">
        <w:trPr>
          <w:trHeight w:val="690"/>
        </w:trPr>
        <w:tc>
          <w:tcPr>
            <w:tcW w:w="1845" w:type="dxa"/>
            <w:vAlign w:val="center"/>
          </w:tcPr>
          <w:p w14:paraId="294603F2" w14:textId="3C173DE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S’approprier</w:t>
            </w:r>
          </w:p>
        </w:tc>
        <w:tc>
          <w:tcPr>
            <w:tcW w:w="6270" w:type="dxa"/>
          </w:tcPr>
          <w:p w14:paraId="311698B6" w14:textId="7DD48642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Rechercher, extraire et organiser l’information.</w:t>
            </w:r>
          </w:p>
          <w:p w14:paraId="139D17D0" w14:textId="0F594FDE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Traduire des informations, des codages.</w:t>
            </w:r>
          </w:p>
        </w:tc>
        <w:tc>
          <w:tcPr>
            <w:tcW w:w="1222" w:type="dxa"/>
          </w:tcPr>
          <w:p w14:paraId="70BF9D72" w14:textId="0C87022D" w:rsidR="19738646" w:rsidRDefault="19738646" w:rsidP="19738646">
            <w:pPr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 xml:space="preserve"> 1) 6) 7)</w:t>
            </w:r>
          </w:p>
        </w:tc>
      </w:tr>
      <w:tr w:rsidR="19738646" w14:paraId="352F304D" w14:textId="77777777" w:rsidTr="00762C12">
        <w:trPr>
          <w:trHeight w:val="1275"/>
        </w:trPr>
        <w:tc>
          <w:tcPr>
            <w:tcW w:w="1845" w:type="dxa"/>
            <w:vAlign w:val="center"/>
          </w:tcPr>
          <w:p w14:paraId="7ECE45CA" w14:textId="2C768C00" w:rsidR="19738646" w:rsidRDefault="19738646" w:rsidP="19738646">
            <w:pPr>
              <w:spacing w:line="300" w:lineRule="auto"/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Analyser Raisonner</w:t>
            </w:r>
          </w:p>
        </w:tc>
        <w:tc>
          <w:tcPr>
            <w:tcW w:w="6270" w:type="dxa"/>
          </w:tcPr>
          <w:p w14:paraId="4E64EC88" w14:textId="4610817A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Émettre des conjectures, formuler des hypothèses.</w:t>
            </w:r>
          </w:p>
          <w:p w14:paraId="787E8B7F" w14:textId="010A139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Proposer, choisir une méthode de résolution ou un protocole expérimental.</w:t>
            </w:r>
          </w:p>
          <w:p w14:paraId="7FBF96BF" w14:textId="0BDF252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Élaborer un algorithme.</w:t>
            </w:r>
          </w:p>
        </w:tc>
        <w:tc>
          <w:tcPr>
            <w:tcW w:w="1222" w:type="dxa"/>
          </w:tcPr>
          <w:p w14:paraId="6CBE5BB6" w14:textId="294AC396" w:rsidR="19738646" w:rsidRDefault="19738646" w:rsidP="19738646">
            <w:pPr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 xml:space="preserve"> 2)</w:t>
            </w:r>
          </w:p>
        </w:tc>
      </w:tr>
      <w:tr w:rsidR="19738646" w14:paraId="4F9A1365" w14:textId="77777777" w:rsidTr="00762C12">
        <w:trPr>
          <w:trHeight w:val="1545"/>
        </w:trPr>
        <w:tc>
          <w:tcPr>
            <w:tcW w:w="1845" w:type="dxa"/>
            <w:vAlign w:val="center"/>
          </w:tcPr>
          <w:p w14:paraId="71758A0E" w14:textId="0E55C1F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Réaliser</w:t>
            </w:r>
          </w:p>
        </w:tc>
        <w:tc>
          <w:tcPr>
            <w:tcW w:w="6270" w:type="dxa"/>
          </w:tcPr>
          <w:p w14:paraId="412CFB7D" w14:textId="74ED289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Mettre en œuvre une méthode de résolution, des algorithmes ou un protocole expérimental en respectant les règles de sécurité.</w:t>
            </w:r>
          </w:p>
          <w:p w14:paraId="2FDDA2C9" w14:textId="52F4E3C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Utiliser un modèle, représenter, calculer.</w:t>
            </w:r>
          </w:p>
          <w:p w14:paraId="372ED9B4" w14:textId="5E045B7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Expérimenter, faire une simulation.</w:t>
            </w:r>
          </w:p>
        </w:tc>
        <w:tc>
          <w:tcPr>
            <w:tcW w:w="1222" w:type="dxa"/>
          </w:tcPr>
          <w:p w14:paraId="58ED6BC0" w14:textId="2249B828" w:rsidR="19738646" w:rsidRDefault="19738646" w:rsidP="19738646">
            <w:pPr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3) 5) 6) 7) 8) 9)</w:t>
            </w:r>
          </w:p>
        </w:tc>
      </w:tr>
      <w:tr w:rsidR="19738646" w14:paraId="1CDCADCD" w14:textId="77777777" w:rsidTr="00762C12">
        <w:trPr>
          <w:trHeight w:val="1020"/>
        </w:trPr>
        <w:tc>
          <w:tcPr>
            <w:tcW w:w="1845" w:type="dxa"/>
            <w:vAlign w:val="center"/>
          </w:tcPr>
          <w:p w14:paraId="7870651B" w14:textId="4B9FCA09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Valider</w:t>
            </w:r>
          </w:p>
        </w:tc>
        <w:tc>
          <w:tcPr>
            <w:tcW w:w="6270" w:type="dxa"/>
          </w:tcPr>
          <w:p w14:paraId="1FB6D85C" w14:textId="1782A6D1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Exploiter et interpréter des résultats ou des observations de façon critique et argumentée.</w:t>
            </w:r>
          </w:p>
          <w:p w14:paraId="595D1037" w14:textId="1B8BDD38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Contrôler la vraisemblance d’une conjecture, de la valeur d’une mesure.</w:t>
            </w:r>
          </w:p>
          <w:p w14:paraId="794BD7DC" w14:textId="35B2F00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Valider un modèle ou une hypothèse.</w:t>
            </w:r>
          </w:p>
          <w:p w14:paraId="437F1E49" w14:textId="54EB77E9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Mener un raisonnement logique et établir une conclusion.</w:t>
            </w:r>
          </w:p>
        </w:tc>
        <w:tc>
          <w:tcPr>
            <w:tcW w:w="1222" w:type="dxa"/>
          </w:tcPr>
          <w:p w14:paraId="64502750" w14:textId="7F7EF1E8" w:rsidR="19738646" w:rsidRDefault="19738646" w:rsidP="19738646">
            <w:pPr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 xml:space="preserve"> 4) 7)</w:t>
            </w:r>
          </w:p>
          <w:p w14:paraId="3A048F37" w14:textId="6F014CDE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558A870D" w14:textId="77777777" w:rsidTr="00762C12">
        <w:trPr>
          <w:trHeight w:val="765"/>
        </w:trPr>
        <w:tc>
          <w:tcPr>
            <w:tcW w:w="1845" w:type="dxa"/>
            <w:vAlign w:val="center"/>
          </w:tcPr>
          <w:p w14:paraId="3F4E5330" w14:textId="5C3EBEE2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Communiquer</w:t>
            </w:r>
          </w:p>
        </w:tc>
        <w:tc>
          <w:tcPr>
            <w:tcW w:w="6270" w:type="dxa"/>
          </w:tcPr>
          <w:p w14:paraId="20CC787E" w14:textId="4DF8877B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Rendre compte d’un résultat, à l’oral ou à l’écrit en utilisant des outils et un langage approprié.</w:t>
            </w:r>
          </w:p>
          <w:p w14:paraId="2E448696" w14:textId="01C357B6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Expliquer une démarche.</w:t>
            </w:r>
          </w:p>
        </w:tc>
        <w:tc>
          <w:tcPr>
            <w:tcW w:w="1222" w:type="dxa"/>
          </w:tcPr>
          <w:p w14:paraId="455E56AB" w14:textId="1F53CC71" w:rsidR="19738646" w:rsidRDefault="19738646" w:rsidP="19738646">
            <w:pPr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10) 11) 12)</w:t>
            </w:r>
          </w:p>
        </w:tc>
      </w:tr>
    </w:tbl>
    <w:p w14:paraId="65E855C8" w14:textId="7983723B" w:rsidR="00176D55" w:rsidRDefault="00176D55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p w14:paraId="076FA680" w14:textId="2138C733" w:rsidR="00C12BEF" w:rsidRDefault="00C12BEF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p w14:paraId="1E9E2869" w14:textId="3DF3178C" w:rsidR="002E59D1" w:rsidRPr="00FE0E71" w:rsidRDefault="002E59D1" w:rsidP="002E59D1">
      <w:pPr>
        <w:pStyle w:val="Sansinterligne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 w:rsidRPr="002E59D1">
        <w:rPr>
          <w:rFonts w:eastAsia="Calibri" w:cstheme="minorHAnsi"/>
          <w:b/>
          <w:bCs/>
          <w:color w:val="0070C0"/>
        </w:rPr>
        <w:t>Pistes pour l’enseignant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064B49AE" w14:textId="77777777" w:rsidR="002E59D1" w:rsidRDefault="002E59D1" w:rsidP="002E59D1">
      <w:pPr>
        <w:jc w:val="both"/>
      </w:pPr>
    </w:p>
    <w:p w14:paraId="678E39A6" w14:textId="4B89F365" w:rsidR="002E59D1" w:rsidRPr="0072397A" w:rsidRDefault="002E59D1" w:rsidP="002E59D1">
      <w:pPr>
        <w:jc w:val="both"/>
      </w:pPr>
      <w:r w:rsidRPr="0072397A">
        <w:t xml:space="preserve">Sensibilisation et éducation : Il est important de sensibiliser le grand public aux réalités de la vie des personnes LGBT+ et de promouvoir la tolérance et l'acceptation. </w:t>
      </w:r>
    </w:p>
    <w:p w14:paraId="56468459" w14:textId="6E2BFBAE" w:rsidR="002E59D1" w:rsidRPr="0072397A" w:rsidRDefault="002E59D1" w:rsidP="002E59D1">
      <w:pPr>
        <w:jc w:val="both"/>
      </w:pPr>
      <w:r w:rsidRPr="0072397A">
        <w:t xml:space="preserve">Encourager les personnes à signaler les crimes : </w:t>
      </w:r>
      <w:r w:rsidR="002761C4">
        <w:t>i</w:t>
      </w:r>
      <w:r w:rsidRPr="0072397A">
        <w:t xml:space="preserve">l est important d'encourager les personnes à signaler les agressions LGBT+ et à se sentir à l'aise de le faire. </w:t>
      </w:r>
    </w:p>
    <w:p w14:paraId="6A502B83" w14:textId="3BC3B8D5" w:rsidR="002E59D1" w:rsidRPr="0072397A" w:rsidRDefault="002E59D1" w:rsidP="002E59D1">
      <w:pPr>
        <w:jc w:val="both"/>
      </w:pPr>
      <w:r w:rsidRPr="0072397A">
        <w:t xml:space="preserve">Soutien aux victimes pour éviter que les agressions se reproduisent. </w:t>
      </w:r>
    </w:p>
    <w:p w14:paraId="20A230FC" w14:textId="058493B0" w:rsidR="002E59D1" w:rsidRPr="0072397A" w:rsidRDefault="002E59D1" w:rsidP="002E59D1">
      <w:pPr>
        <w:jc w:val="both"/>
      </w:pPr>
      <w:r w:rsidRPr="0072397A">
        <w:t xml:space="preserve">Promouvoir l'inclusion : </w:t>
      </w:r>
      <w:r w:rsidR="002761C4">
        <w:t>l</w:t>
      </w:r>
      <w:r w:rsidRPr="0072397A">
        <w:t xml:space="preserve">es organisations et les communautés peuvent promouvoir l'inclusion des personnes LGBT+ dans tous les aspects de la vie sociale, y compris les entreprises, les établissements d'enseignement, les lieux de culte et les clubs sociaux. Cela peut être fait en encourageant les politiques et les pratiques inclusives et en travaillant à sensibiliser les personnes aux préjugés et à la discrimination. </w:t>
      </w:r>
    </w:p>
    <w:p w14:paraId="1EFB2A65" w14:textId="7FEEACF5" w:rsidR="003E2490" w:rsidRPr="0072397A" w:rsidRDefault="003E2490" w:rsidP="003E2490"/>
    <w:sectPr w:rsidR="003E2490" w:rsidRPr="0072397A" w:rsidSect="00DD5A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68C2" w14:textId="77777777" w:rsidR="00B6427B" w:rsidRDefault="00B6427B" w:rsidP="00DD5ACE">
      <w:pPr>
        <w:spacing w:after="0" w:line="240" w:lineRule="auto"/>
      </w:pPr>
      <w:r>
        <w:separator/>
      </w:r>
    </w:p>
  </w:endnote>
  <w:endnote w:type="continuationSeparator" w:id="0">
    <w:p w14:paraId="377A4028" w14:textId="77777777" w:rsidR="00B6427B" w:rsidRDefault="00B6427B" w:rsidP="00DD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79D2" w14:textId="77777777" w:rsidR="00B6427B" w:rsidRDefault="00B6427B" w:rsidP="00DD5ACE">
      <w:pPr>
        <w:spacing w:after="0" w:line="240" w:lineRule="auto"/>
      </w:pPr>
      <w:r>
        <w:separator/>
      </w:r>
    </w:p>
  </w:footnote>
  <w:footnote w:type="continuationSeparator" w:id="0">
    <w:p w14:paraId="5F520AED" w14:textId="77777777" w:rsidR="00B6427B" w:rsidRDefault="00B6427B" w:rsidP="00DD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57C"/>
    <w:multiLevelType w:val="hybridMultilevel"/>
    <w:tmpl w:val="DD98D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6950"/>
    <w:multiLevelType w:val="multilevel"/>
    <w:tmpl w:val="D4B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208F2"/>
    <w:multiLevelType w:val="hybridMultilevel"/>
    <w:tmpl w:val="E2AEB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5BA9"/>
    <w:multiLevelType w:val="hybridMultilevel"/>
    <w:tmpl w:val="7888991C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FB2"/>
    <w:multiLevelType w:val="hybridMultilevel"/>
    <w:tmpl w:val="E51890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307"/>
    <w:multiLevelType w:val="hybridMultilevel"/>
    <w:tmpl w:val="EE70C352"/>
    <w:lvl w:ilvl="0" w:tplc="F04ACC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7370"/>
    <w:multiLevelType w:val="hybridMultilevel"/>
    <w:tmpl w:val="6FAEFF74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8"/>
    <w:rsid w:val="00092BA1"/>
    <w:rsid w:val="000A42BD"/>
    <w:rsid w:val="00132957"/>
    <w:rsid w:val="00176D55"/>
    <w:rsid w:val="001D6BAB"/>
    <w:rsid w:val="0020081F"/>
    <w:rsid w:val="00201F28"/>
    <w:rsid w:val="00231591"/>
    <w:rsid w:val="002761C4"/>
    <w:rsid w:val="0028268C"/>
    <w:rsid w:val="002D6328"/>
    <w:rsid w:val="002E59D1"/>
    <w:rsid w:val="00324DED"/>
    <w:rsid w:val="00363770"/>
    <w:rsid w:val="003E0294"/>
    <w:rsid w:val="003E2490"/>
    <w:rsid w:val="00421B37"/>
    <w:rsid w:val="00487705"/>
    <w:rsid w:val="004F6365"/>
    <w:rsid w:val="00516172"/>
    <w:rsid w:val="005268B7"/>
    <w:rsid w:val="00592738"/>
    <w:rsid w:val="005B78E0"/>
    <w:rsid w:val="005E6114"/>
    <w:rsid w:val="00630FDF"/>
    <w:rsid w:val="006D2172"/>
    <w:rsid w:val="0072397A"/>
    <w:rsid w:val="00762C12"/>
    <w:rsid w:val="00764907"/>
    <w:rsid w:val="0076681A"/>
    <w:rsid w:val="007E5371"/>
    <w:rsid w:val="00814A62"/>
    <w:rsid w:val="00833639"/>
    <w:rsid w:val="00917C43"/>
    <w:rsid w:val="009928FF"/>
    <w:rsid w:val="009C4558"/>
    <w:rsid w:val="009C71E8"/>
    <w:rsid w:val="009D7076"/>
    <w:rsid w:val="00A256FA"/>
    <w:rsid w:val="00AC1EE0"/>
    <w:rsid w:val="00B04041"/>
    <w:rsid w:val="00B6427B"/>
    <w:rsid w:val="00C035A4"/>
    <w:rsid w:val="00C12BEF"/>
    <w:rsid w:val="00C61FF7"/>
    <w:rsid w:val="00CA66CD"/>
    <w:rsid w:val="00D20BBD"/>
    <w:rsid w:val="00D35E7F"/>
    <w:rsid w:val="00DD5ACE"/>
    <w:rsid w:val="00DF280A"/>
    <w:rsid w:val="00DF3529"/>
    <w:rsid w:val="00E2300B"/>
    <w:rsid w:val="00E80E62"/>
    <w:rsid w:val="00F02BED"/>
    <w:rsid w:val="00F151D1"/>
    <w:rsid w:val="00F22FAF"/>
    <w:rsid w:val="00F23064"/>
    <w:rsid w:val="00F53FE2"/>
    <w:rsid w:val="00F652D6"/>
    <w:rsid w:val="00F840CF"/>
    <w:rsid w:val="00FB74EF"/>
    <w:rsid w:val="19738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85D"/>
  <w15:chartTrackingRefBased/>
  <w15:docId w15:val="{7711ECE8-D14A-4EFA-B849-0C11449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FA"/>
  </w:style>
  <w:style w:type="paragraph" w:styleId="Titre1">
    <w:name w:val="heading 1"/>
    <w:basedOn w:val="Normal"/>
    <w:link w:val="Titre1Car"/>
    <w:uiPriority w:val="9"/>
    <w:qFormat/>
    <w:rsid w:val="00CA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7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0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E24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6172"/>
    <w:pPr>
      <w:ind w:left="720"/>
      <w:contextualSpacing/>
    </w:pPr>
  </w:style>
  <w:style w:type="paragraph" w:customStyle="1" w:styleId="fr-text--lead">
    <w:name w:val="fr-text--lead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sharetitle">
    <w:name w:val="fr-share__title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text--lg">
    <w:name w:val="fr-text--lg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6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6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Rvision">
    <w:name w:val="Revision"/>
    <w:hidden/>
    <w:uiPriority w:val="99"/>
    <w:semiHidden/>
    <w:rsid w:val="0072397A"/>
    <w:pPr>
      <w:spacing w:after="0" w:line="240" w:lineRule="auto"/>
    </w:pPr>
  </w:style>
  <w:style w:type="paragraph" w:styleId="Sansinterligne">
    <w:name w:val="No Spacing"/>
    <w:uiPriority w:val="1"/>
    <w:qFormat/>
    <w:rsid w:val="00814A62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Policepardfaut"/>
    <w:rsid w:val="002E59D1"/>
  </w:style>
  <w:style w:type="paragraph" w:styleId="En-tte">
    <w:name w:val="header"/>
    <w:basedOn w:val="Normal"/>
    <w:link w:val="En-tt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ACE"/>
  </w:style>
  <w:style w:type="paragraph" w:styleId="Pieddepage">
    <w:name w:val="footer"/>
    <w:basedOn w:val="Normal"/>
    <w:link w:val="Pieddepag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ACE"/>
  </w:style>
  <w:style w:type="character" w:styleId="Marquedecommentaire">
    <w:name w:val="annotation reference"/>
    <w:basedOn w:val="Policepardfaut"/>
    <w:uiPriority w:val="99"/>
    <w:semiHidden/>
    <w:unhideWhenUsed/>
    <w:rsid w:val="00231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5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5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591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0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03732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3570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4106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2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82168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2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87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6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415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9385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3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gbtphobi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9599C-9C67-4F3F-9923-F8708AE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1077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Coppola</dc:creator>
  <cp:keywords/>
  <dc:description/>
  <cp:lastModifiedBy>vl-hopital</cp:lastModifiedBy>
  <cp:revision>10</cp:revision>
  <dcterms:created xsi:type="dcterms:W3CDTF">2023-05-13T16:10:00Z</dcterms:created>
  <dcterms:modified xsi:type="dcterms:W3CDTF">2023-05-17T12:07:00Z</dcterms:modified>
</cp:coreProperties>
</file>