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62266" w14:textId="0F273B85" w:rsidR="00FE56EA" w:rsidRPr="009D6D62" w:rsidRDefault="00FE56EA" w:rsidP="00A950AE">
      <w:pPr>
        <w:shd w:val="clear" w:color="auto" w:fill="4472C4"/>
        <w:spacing w:before="360" w:after="360" w:line="240" w:lineRule="auto"/>
        <w:rPr>
          <w:rFonts w:ascii="Verdana Pro Semibold" w:hAnsi="Verdana Pro Semibold"/>
          <w:caps/>
          <w:color w:val="FFFFFF"/>
        </w:rPr>
      </w:pPr>
      <w:r w:rsidRPr="009D6D62">
        <w:rPr>
          <w:rFonts w:ascii="Verdana Pro Semibold" w:hAnsi="Verdana Pro Semibold"/>
          <w:caps/>
          <w:color w:val="FFFFFF"/>
        </w:rPr>
        <w:t>Contexte :</w:t>
      </w:r>
    </w:p>
    <w:p w14:paraId="5C01561F" w14:textId="77777777" w:rsidR="002920C0" w:rsidRDefault="001C451E" w:rsidP="008736DB">
      <w:pPr>
        <w:widowControl w:val="0"/>
        <w:spacing w:before="120" w:after="120" w:line="240" w:lineRule="auto"/>
        <w:jc w:val="both"/>
        <w:rPr>
          <w:rFonts w:ascii="Verdana" w:hAnsi="Verdana" w:cs="Calibri"/>
          <w:kern w:val="0"/>
          <w:lang w:eastAsia="fr-FR"/>
        </w:rPr>
      </w:pPr>
      <w:r w:rsidRPr="001C451E">
        <w:rPr>
          <w:rFonts w:ascii="Verdana" w:hAnsi="Verdana" w:cs="Calibri"/>
          <w:kern w:val="0"/>
          <w:lang w:eastAsia="fr-FR"/>
        </w:rPr>
        <w:t>L’éducation nationale a pour mission de prévenir toutes les manifestations d’homophobie et de transphobie au sein des établissements scolaires et de veiller à l’inclusion des élèves LGBTI+.</w:t>
      </w:r>
    </w:p>
    <w:p w14:paraId="40F46DB2" w14:textId="0F386936" w:rsidR="006B0C5F" w:rsidRDefault="006B0C5F" w:rsidP="008736DB">
      <w:pPr>
        <w:widowControl w:val="0"/>
        <w:spacing w:before="120" w:after="120" w:line="240" w:lineRule="auto"/>
        <w:jc w:val="both"/>
        <w:rPr>
          <w:rFonts w:ascii="Verdana" w:hAnsi="Verdana" w:cs="Calibri"/>
          <w:kern w:val="0"/>
          <w:lang w:eastAsia="fr-FR"/>
        </w:rPr>
      </w:pPr>
      <w:r w:rsidRPr="006B0C5F">
        <w:rPr>
          <w:rFonts w:ascii="Verdana" w:hAnsi="Verdana" w:cs="Calibri"/>
          <w:kern w:val="0"/>
          <w:lang w:eastAsia="fr-FR"/>
        </w:rPr>
        <w:t xml:space="preserve">Il est également au cœur des missions du service public de l’éducation de faire acquérir à tous les élèves le principe de l’égale dignité des êtres humains. L’apprentissage du respect de l’autre est un enjeu pédagogique majeur pris en charge par l’ensemble des programmes d’enseignement. L’appropriation des valeurs démocratiques et républicaines, le partage d’une culture de l’égalité et de la compréhension d’autrui permettent de combattre les violences et les discriminations, notamment sexistes et </w:t>
      </w:r>
      <w:proofErr w:type="spellStart"/>
      <w:r w:rsidRPr="006B0C5F">
        <w:rPr>
          <w:rFonts w:ascii="Verdana" w:hAnsi="Verdana" w:cs="Calibri"/>
          <w:kern w:val="0"/>
          <w:lang w:eastAsia="fr-FR"/>
        </w:rPr>
        <w:t>LGBTphobes</w:t>
      </w:r>
      <w:proofErr w:type="spellEnd"/>
      <w:r w:rsidRPr="006B0C5F">
        <w:rPr>
          <w:rFonts w:ascii="Verdana" w:hAnsi="Verdana" w:cs="Calibri"/>
          <w:kern w:val="0"/>
          <w:lang w:eastAsia="fr-FR"/>
        </w:rPr>
        <w:t>, et participant à la formation des jeunes citoyens.</w:t>
      </w:r>
    </w:p>
    <w:p w14:paraId="3D34F3AA" w14:textId="77777777" w:rsidR="00FE56EA" w:rsidRPr="001F26AD" w:rsidRDefault="00FE56EA" w:rsidP="008736DB">
      <w:pPr>
        <w:widowControl w:val="0"/>
        <w:spacing w:before="120" w:after="120" w:line="240" w:lineRule="auto"/>
        <w:jc w:val="both"/>
        <w:rPr>
          <w:rFonts w:ascii="Verdana" w:hAnsi="Verdana" w:cs="Calibri"/>
          <w:kern w:val="0"/>
          <w:lang w:eastAsia="fr-FR"/>
        </w:rPr>
        <w:sectPr w:rsidR="00FE56EA" w:rsidRPr="001F26AD" w:rsidSect="00CF2DC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p>
    <w:p w14:paraId="33749FD8" w14:textId="77777777" w:rsidR="00FE56EA" w:rsidRPr="009D6D62" w:rsidRDefault="00FE56EA" w:rsidP="00BF17AD">
      <w:pPr>
        <w:shd w:val="clear" w:color="auto" w:fill="4472C4"/>
        <w:spacing w:before="360" w:after="360" w:line="240" w:lineRule="auto"/>
        <w:rPr>
          <w:rFonts w:ascii="Verdana Pro Semibold" w:hAnsi="Verdana Pro Semibold"/>
          <w:caps/>
          <w:color w:val="FFFFFF"/>
        </w:rPr>
      </w:pPr>
      <w:r w:rsidRPr="009D6D62">
        <w:rPr>
          <w:rFonts w:ascii="Verdana Pro Semibold" w:hAnsi="Verdana Pro Semibold"/>
          <w:caps/>
          <w:color w:val="FFFFFF"/>
        </w:rPr>
        <w:t>Objectifs :</w:t>
      </w:r>
    </w:p>
    <w:p w14:paraId="4CF0E776" w14:textId="5A95E928" w:rsidR="00FE56EA" w:rsidRDefault="002974D7" w:rsidP="00947669">
      <w:pPr>
        <w:widowControl w:val="0"/>
        <w:numPr>
          <w:ilvl w:val="0"/>
          <w:numId w:val="12"/>
        </w:numPr>
        <w:spacing w:before="120" w:after="120" w:line="240" w:lineRule="auto"/>
        <w:rPr>
          <w:rFonts w:ascii="Verdana" w:hAnsi="Verdana" w:cs="Calibri"/>
          <w:kern w:val="0"/>
          <w:lang w:eastAsia="fr-FR"/>
        </w:rPr>
      </w:pPr>
      <w:r>
        <w:rPr>
          <w:rFonts w:ascii="Verdana" w:hAnsi="Verdana" w:cs="Calibri"/>
          <w:kern w:val="0"/>
          <w:lang w:eastAsia="fr-FR"/>
        </w:rPr>
        <w:t xml:space="preserve">Prévenir les </w:t>
      </w:r>
      <w:proofErr w:type="spellStart"/>
      <w:r>
        <w:rPr>
          <w:rFonts w:ascii="Verdana" w:hAnsi="Verdana" w:cs="Calibri"/>
          <w:kern w:val="0"/>
          <w:lang w:eastAsia="fr-FR"/>
        </w:rPr>
        <w:t>LGBTphobies</w:t>
      </w:r>
      <w:proofErr w:type="spellEnd"/>
      <w:r>
        <w:rPr>
          <w:rFonts w:ascii="Verdana" w:hAnsi="Verdana" w:cs="Calibri"/>
          <w:kern w:val="0"/>
          <w:lang w:eastAsia="fr-FR"/>
        </w:rPr>
        <w:t xml:space="preserve"> en milieu scolaire</w:t>
      </w:r>
    </w:p>
    <w:p w14:paraId="50EC738E" w14:textId="485F3806" w:rsidR="00FE56EA" w:rsidRPr="009D6D62" w:rsidRDefault="00FE56EA" w:rsidP="00BF17AD">
      <w:pPr>
        <w:shd w:val="clear" w:color="auto" w:fill="4472C4"/>
        <w:spacing w:before="360" w:after="360" w:line="240" w:lineRule="auto"/>
        <w:rPr>
          <w:rFonts w:ascii="Verdana Pro Semibold" w:hAnsi="Verdana Pro Semibold"/>
          <w:caps/>
          <w:color w:val="FFFFFF"/>
        </w:rPr>
      </w:pPr>
      <w:r w:rsidRPr="009D6D62">
        <w:rPr>
          <w:rFonts w:ascii="Verdana Pro Semibold" w:hAnsi="Verdana Pro Semibold"/>
          <w:caps/>
          <w:color w:val="FFFFFF"/>
        </w:rPr>
        <w:t>Proposition p</w:t>
      </w:r>
      <w:r w:rsidR="008736DB">
        <w:rPr>
          <w:rFonts w:ascii="Verdana Pro Semibold" w:hAnsi="Verdana Pro Semibold"/>
          <w:caps/>
          <w:color w:val="FFFFFF"/>
        </w:rPr>
        <w:t>É</w:t>
      </w:r>
      <w:r w:rsidRPr="009D6D62">
        <w:rPr>
          <w:rFonts w:ascii="Verdana Pro Semibold" w:hAnsi="Verdana Pro Semibold"/>
          <w:caps/>
          <w:color w:val="FFFFFF"/>
        </w:rPr>
        <w:t xml:space="preserve">dagogique : </w:t>
      </w:r>
    </w:p>
    <w:p w14:paraId="1A19F8B0" w14:textId="4185632F" w:rsidR="00FE56EA" w:rsidRPr="00947669" w:rsidRDefault="00FE56EA" w:rsidP="00931752">
      <w:pPr>
        <w:widowControl w:val="0"/>
        <w:spacing w:before="240" w:after="240" w:line="240" w:lineRule="auto"/>
        <w:rPr>
          <w:rFonts w:ascii="Verdana" w:hAnsi="Verdana" w:cs="Calibri"/>
          <w:bCs/>
        </w:rPr>
      </w:pPr>
      <w:r w:rsidRPr="00607CA8">
        <w:rPr>
          <w:rFonts w:ascii="Verdana" w:hAnsi="Verdana" w:cs="Calibri"/>
          <w:b/>
          <w:color w:val="0066CC"/>
        </w:rPr>
        <w:t>Niveau :</w:t>
      </w:r>
      <w:r w:rsidR="000121BD">
        <w:rPr>
          <w:rFonts w:ascii="Verdana" w:hAnsi="Verdana" w:cs="Calibri"/>
          <w:bCs/>
          <w:color w:val="0066CC"/>
        </w:rPr>
        <w:t xml:space="preserve"> </w:t>
      </w:r>
      <w:r w:rsidR="000121BD" w:rsidRPr="00931752">
        <w:rPr>
          <w:rFonts w:ascii="Verdana" w:hAnsi="Verdana" w:cs="Calibri"/>
          <w:bCs/>
        </w:rPr>
        <w:t>1ère</w:t>
      </w:r>
    </w:p>
    <w:p w14:paraId="71663334" w14:textId="1DCE730B" w:rsidR="00FE56EA" w:rsidRPr="00607CA8" w:rsidRDefault="00FE56EA" w:rsidP="00931752">
      <w:pPr>
        <w:widowControl w:val="0"/>
        <w:spacing w:before="240" w:after="240" w:line="240" w:lineRule="auto"/>
        <w:rPr>
          <w:rFonts w:ascii="Verdana" w:hAnsi="Verdana" w:cs="Calibri"/>
          <w:b/>
          <w:color w:val="0066CC"/>
          <w:u w:val="single"/>
        </w:rPr>
      </w:pPr>
      <w:r w:rsidRPr="00607CA8">
        <w:rPr>
          <w:rFonts w:ascii="Verdana" w:hAnsi="Verdana" w:cs="Calibri"/>
          <w:b/>
          <w:color w:val="0066CC"/>
        </w:rPr>
        <w:t>Groupements :</w:t>
      </w:r>
      <w:r w:rsidR="000121BD">
        <w:rPr>
          <w:rFonts w:ascii="Verdana" w:hAnsi="Verdana" w:cs="Calibri"/>
          <w:bCs/>
          <w:color w:val="0066CC"/>
        </w:rPr>
        <w:t xml:space="preserve"> </w:t>
      </w:r>
      <w:r w:rsidR="000121BD" w:rsidRPr="00931752">
        <w:rPr>
          <w:rFonts w:ascii="Verdana" w:hAnsi="Verdana" w:cs="Calibri"/>
          <w:bCs/>
        </w:rPr>
        <w:t>A, B et C</w:t>
      </w:r>
    </w:p>
    <w:p w14:paraId="78C745BA" w14:textId="0280295D" w:rsidR="00FE56EA" w:rsidRPr="00FB1931" w:rsidRDefault="008736DB" w:rsidP="00931752">
      <w:pPr>
        <w:widowControl w:val="0"/>
        <w:spacing w:before="240" w:after="240" w:line="240" w:lineRule="auto"/>
        <w:rPr>
          <w:rFonts w:ascii="Verdana" w:hAnsi="Verdana" w:cs="Calibri"/>
          <w:bCs/>
          <w:color w:val="0066CC"/>
        </w:rPr>
      </w:pPr>
      <w:r>
        <w:rPr>
          <w:rFonts w:ascii="Verdana" w:hAnsi="Verdana" w:cs="Calibri"/>
          <w:b/>
          <w:color w:val="0066CC"/>
        </w:rPr>
        <w:t>É</w:t>
      </w:r>
      <w:r w:rsidR="00FE56EA" w:rsidRPr="00FB1931">
        <w:rPr>
          <w:rFonts w:ascii="Verdana" w:hAnsi="Verdana" w:cs="Calibri"/>
          <w:b/>
          <w:color w:val="0066CC"/>
        </w:rPr>
        <w:t>léments de programme :</w:t>
      </w:r>
      <w:r w:rsidR="00FE56EA" w:rsidRPr="00FB1931">
        <w:rPr>
          <w:rFonts w:ascii="Verdana" w:hAnsi="Verdana" w:cs="Calibri"/>
          <w:bCs/>
          <w:color w:val="0066CC"/>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9"/>
        <w:gridCol w:w="1673"/>
        <w:gridCol w:w="2705"/>
        <w:gridCol w:w="2825"/>
      </w:tblGrid>
      <w:tr w:rsidR="00FE56EA" w:rsidRPr="00DA36EF" w14:paraId="5927346B" w14:textId="77777777" w:rsidTr="00947669">
        <w:trPr>
          <w:trHeight w:val="428"/>
        </w:trPr>
        <w:tc>
          <w:tcPr>
            <w:tcW w:w="1906" w:type="dxa"/>
            <w:shd w:val="clear" w:color="auto" w:fill="CCC0D9" w:themeFill="accent4" w:themeFillTint="66"/>
            <w:vAlign w:val="center"/>
          </w:tcPr>
          <w:p w14:paraId="0FCAE9E2" w14:textId="77777777" w:rsidR="00FE56EA" w:rsidRPr="00947669" w:rsidRDefault="00FE56EA" w:rsidP="00947669">
            <w:pPr>
              <w:spacing w:after="0" w:line="240" w:lineRule="auto"/>
              <w:rPr>
                <w:rFonts w:ascii="Verdana" w:hAnsi="Verdana"/>
              </w:rPr>
            </w:pPr>
            <w:r w:rsidRPr="00947669">
              <w:rPr>
                <w:rFonts w:ascii="Verdana" w:hAnsi="Verdana"/>
              </w:rPr>
              <w:t>Domaine</w:t>
            </w:r>
          </w:p>
        </w:tc>
        <w:tc>
          <w:tcPr>
            <w:tcW w:w="1694" w:type="dxa"/>
            <w:shd w:val="clear" w:color="auto" w:fill="CCC0D9" w:themeFill="accent4" w:themeFillTint="66"/>
            <w:vAlign w:val="center"/>
          </w:tcPr>
          <w:p w14:paraId="767B3992" w14:textId="77777777" w:rsidR="00FE56EA" w:rsidRPr="00947669" w:rsidRDefault="00FE56EA" w:rsidP="00947669">
            <w:pPr>
              <w:spacing w:after="0" w:line="240" w:lineRule="auto"/>
              <w:rPr>
                <w:rFonts w:ascii="Verdana" w:hAnsi="Verdana"/>
              </w:rPr>
            </w:pPr>
            <w:r w:rsidRPr="00947669">
              <w:rPr>
                <w:rFonts w:ascii="Verdana" w:hAnsi="Verdana"/>
              </w:rPr>
              <w:t>Module</w:t>
            </w:r>
          </w:p>
        </w:tc>
        <w:tc>
          <w:tcPr>
            <w:tcW w:w="2794" w:type="dxa"/>
            <w:shd w:val="clear" w:color="auto" w:fill="CCC0D9" w:themeFill="accent4" w:themeFillTint="66"/>
            <w:vAlign w:val="center"/>
          </w:tcPr>
          <w:p w14:paraId="705C9843" w14:textId="77777777" w:rsidR="00FE56EA" w:rsidRPr="00947669" w:rsidRDefault="00FE56EA" w:rsidP="00947669">
            <w:pPr>
              <w:spacing w:after="0" w:line="240" w:lineRule="auto"/>
              <w:rPr>
                <w:rFonts w:ascii="Verdana" w:hAnsi="Verdana"/>
              </w:rPr>
            </w:pPr>
            <w:r w:rsidRPr="00947669">
              <w:rPr>
                <w:rFonts w:ascii="Verdana" w:hAnsi="Verdana"/>
              </w:rPr>
              <w:t>Capacités</w:t>
            </w:r>
          </w:p>
        </w:tc>
        <w:tc>
          <w:tcPr>
            <w:tcW w:w="2894" w:type="dxa"/>
            <w:shd w:val="clear" w:color="auto" w:fill="CCC0D9" w:themeFill="accent4" w:themeFillTint="66"/>
            <w:vAlign w:val="center"/>
          </w:tcPr>
          <w:p w14:paraId="2B4A36DB" w14:textId="77777777" w:rsidR="00FE56EA" w:rsidRPr="00947669" w:rsidRDefault="00FE56EA" w:rsidP="00947669">
            <w:pPr>
              <w:spacing w:after="0" w:line="240" w:lineRule="auto"/>
              <w:rPr>
                <w:rFonts w:ascii="Verdana" w:hAnsi="Verdana"/>
              </w:rPr>
            </w:pPr>
            <w:r w:rsidRPr="00947669">
              <w:rPr>
                <w:rFonts w:ascii="Verdana" w:hAnsi="Verdana"/>
              </w:rPr>
              <w:t>Connaissances</w:t>
            </w:r>
          </w:p>
        </w:tc>
      </w:tr>
      <w:tr w:rsidR="00FE56EA" w:rsidRPr="00444645" w14:paraId="1F3920DD" w14:textId="77777777" w:rsidTr="005C061A">
        <w:tc>
          <w:tcPr>
            <w:tcW w:w="1906" w:type="dxa"/>
          </w:tcPr>
          <w:p w14:paraId="5012C3F0" w14:textId="3490A917" w:rsidR="00FE56EA" w:rsidRPr="007C3FA8" w:rsidRDefault="000121BD" w:rsidP="00444645">
            <w:pPr>
              <w:widowControl w:val="0"/>
              <w:spacing w:before="120" w:after="120" w:line="240" w:lineRule="auto"/>
              <w:rPr>
                <w:rFonts w:ascii="Verdana Pro Light" w:hAnsi="Verdana Pro Light"/>
                <w:color w:val="595959"/>
              </w:rPr>
            </w:pPr>
            <w:r w:rsidRPr="007C3FA8">
              <w:rPr>
                <w:rFonts w:ascii="Verdana Pro Light" w:hAnsi="Verdana Pro Light"/>
                <w:color w:val="595959"/>
              </w:rPr>
              <w:t xml:space="preserve">Algèbre </w:t>
            </w:r>
            <w:r w:rsidR="007C3FA8">
              <w:rPr>
                <w:rFonts w:ascii="Verdana Pro Light" w:hAnsi="Verdana Pro Light"/>
                <w:color w:val="595959"/>
              </w:rPr>
              <w:t xml:space="preserve">– </w:t>
            </w:r>
            <w:r w:rsidRPr="007C3FA8">
              <w:rPr>
                <w:rFonts w:ascii="Verdana Pro Light" w:hAnsi="Verdana Pro Light"/>
                <w:color w:val="595959"/>
              </w:rPr>
              <w:t>Analyse</w:t>
            </w:r>
          </w:p>
        </w:tc>
        <w:tc>
          <w:tcPr>
            <w:tcW w:w="1694" w:type="dxa"/>
          </w:tcPr>
          <w:p w14:paraId="7AF3AA92" w14:textId="649F72D6" w:rsidR="00FE56EA" w:rsidRPr="00C2170C" w:rsidRDefault="000121BD" w:rsidP="00444645">
            <w:pPr>
              <w:widowControl w:val="0"/>
              <w:spacing w:before="120" w:after="120" w:line="240" w:lineRule="auto"/>
              <w:rPr>
                <w:rFonts w:ascii="Verdana Pro Light" w:hAnsi="Verdana Pro Light" w:cs="Calibri"/>
                <w:kern w:val="0"/>
                <w:lang w:eastAsia="fr-FR"/>
              </w:rPr>
            </w:pPr>
            <w:r w:rsidRPr="007C3FA8">
              <w:rPr>
                <w:rFonts w:ascii="Verdana Pro Light" w:hAnsi="Verdana Pro Light" w:cs="Calibri"/>
                <w:kern w:val="0"/>
                <w:lang w:eastAsia="fr-FR"/>
              </w:rPr>
              <w:t>Suites numériques</w:t>
            </w:r>
          </w:p>
        </w:tc>
        <w:tc>
          <w:tcPr>
            <w:tcW w:w="2794" w:type="dxa"/>
          </w:tcPr>
          <w:p w14:paraId="179AC7D5" w14:textId="49189E80" w:rsidR="00FE56EA" w:rsidRPr="007C3FA8" w:rsidRDefault="002126E1" w:rsidP="002126E1">
            <w:pPr>
              <w:widowControl w:val="0"/>
              <w:spacing w:before="120" w:after="120" w:line="240" w:lineRule="auto"/>
              <w:rPr>
                <w:rFonts w:ascii="Verdana Pro Light" w:hAnsi="Verdana Pro Light"/>
                <w:color w:val="595959"/>
              </w:rPr>
            </w:pPr>
            <w:r w:rsidRPr="007C3FA8">
              <w:rPr>
                <w:rFonts w:ascii="Verdana Pro Light" w:hAnsi="Verdana Pro Light"/>
                <w:color w:val="595959"/>
              </w:rPr>
              <w:t>Calculer un terme de rang donné d’une suite géométrique définie par son premier terme et par une relation de récurrence ou par l’expression du terme de rang n.</w:t>
            </w:r>
          </w:p>
        </w:tc>
        <w:tc>
          <w:tcPr>
            <w:tcW w:w="2894" w:type="dxa"/>
          </w:tcPr>
          <w:p w14:paraId="36FD9759" w14:textId="3F782952" w:rsidR="002126E1" w:rsidRPr="007C3FA8" w:rsidRDefault="002126E1" w:rsidP="002126E1">
            <w:pPr>
              <w:widowControl w:val="0"/>
              <w:spacing w:before="120" w:after="120" w:line="240" w:lineRule="auto"/>
              <w:rPr>
                <w:rFonts w:ascii="Verdana Pro Light" w:hAnsi="Verdana Pro Light"/>
                <w:color w:val="595959"/>
              </w:rPr>
            </w:pPr>
            <w:r w:rsidRPr="007C3FA8">
              <w:rPr>
                <w:rFonts w:ascii="Verdana Pro Light" w:hAnsi="Verdana Pro Light"/>
                <w:color w:val="595959"/>
              </w:rPr>
              <w:t>Suites géométriques de raison strictement positive :</w:t>
            </w:r>
          </w:p>
          <w:p w14:paraId="41FCEDBC" w14:textId="1C8C2B2F" w:rsidR="00FE56EA" w:rsidRPr="007C3FA8" w:rsidRDefault="002126E1" w:rsidP="008736DB">
            <w:pPr>
              <w:widowControl w:val="0"/>
              <w:spacing w:before="120" w:after="120" w:line="240" w:lineRule="auto"/>
              <w:rPr>
                <w:rFonts w:ascii="Verdana Pro Light" w:hAnsi="Verdana Pro Light"/>
                <w:color w:val="595959"/>
              </w:rPr>
            </w:pPr>
            <w:r w:rsidRPr="007C3FA8">
              <w:rPr>
                <w:rFonts w:ascii="Verdana Pro Light" w:hAnsi="Verdana Pro Light"/>
                <w:color w:val="595959"/>
              </w:rPr>
              <w:t xml:space="preserve">- définies par la relation </w:t>
            </w:r>
            <m:oMath>
              <m:sSub>
                <m:sSubPr>
                  <m:ctrlPr>
                    <w:rPr>
                      <w:rFonts w:ascii="Cambria Math" w:hAnsi="Cambria Math"/>
                      <w:i/>
                      <w:color w:val="595959"/>
                    </w:rPr>
                  </m:ctrlPr>
                </m:sSubPr>
                <m:e>
                  <m:r>
                    <w:rPr>
                      <w:rFonts w:ascii="Cambria Math" w:hAnsi="Cambria Math"/>
                      <w:color w:val="595959"/>
                    </w:rPr>
                    <m:t>U</m:t>
                  </m:r>
                </m:e>
                <m:sub>
                  <m:r>
                    <w:rPr>
                      <w:rFonts w:ascii="Cambria Math" w:hAnsi="Cambria Math"/>
                      <w:color w:val="595959"/>
                    </w:rPr>
                    <m:t>n+1</m:t>
                  </m:r>
                </m:sub>
              </m:sSub>
              <m:r>
                <w:rPr>
                  <w:rFonts w:ascii="Cambria Math" w:hAnsi="Cambria Math"/>
                  <w:color w:val="595959"/>
                </w:rPr>
                <m:t xml:space="preserve">= </m:t>
              </m:r>
              <m:sSub>
                <m:sSubPr>
                  <m:ctrlPr>
                    <w:rPr>
                      <w:rFonts w:ascii="Cambria Math" w:hAnsi="Cambria Math"/>
                      <w:i/>
                      <w:color w:val="595959"/>
                    </w:rPr>
                  </m:ctrlPr>
                </m:sSubPr>
                <m:e>
                  <m:r>
                    <w:rPr>
                      <w:rFonts w:ascii="Cambria Math" w:hAnsi="Cambria Math"/>
                      <w:color w:val="595959"/>
                    </w:rPr>
                    <m:t>U</m:t>
                  </m:r>
                </m:e>
                <m:sub>
                  <m:r>
                    <w:rPr>
                      <w:rFonts w:ascii="Cambria Math" w:hAnsi="Cambria Math"/>
                      <w:color w:val="595959"/>
                    </w:rPr>
                    <m:t>n</m:t>
                  </m:r>
                </m:sub>
              </m:sSub>
              <m:r>
                <w:rPr>
                  <w:rFonts w:ascii="Cambria Math" w:hAnsi="Cambria Math"/>
                  <w:color w:val="595959"/>
                </w:rPr>
                <m:t xml:space="preserve"> × q</m:t>
              </m:r>
            </m:oMath>
            <w:r w:rsidRPr="007C3FA8">
              <w:rPr>
                <w:rFonts w:ascii="Verdana Pro Light" w:hAnsi="Verdana Pro Light"/>
                <w:color w:val="595959"/>
              </w:rPr>
              <w:t xml:space="preserve"> et la donnée du premier terme</w:t>
            </w:r>
          </w:p>
        </w:tc>
      </w:tr>
    </w:tbl>
    <w:p w14:paraId="581B59D7" w14:textId="79F4C331" w:rsidR="00FE56EA" w:rsidRPr="009D6D62" w:rsidRDefault="00FE56EA" w:rsidP="00931752">
      <w:pPr>
        <w:widowControl w:val="0"/>
        <w:spacing w:before="240" w:after="240" w:line="240" w:lineRule="auto"/>
        <w:rPr>
          <w:rFonts w:ascii="Verdana" w:hAnsi="Verdana" w:cs="Calibri"/>
          <w:bCs/>
          <w:u w:val="single"/>
        </w:rPr>
      </w:pPr>
      <w:r w:rsidRPr="009D6D62">
        <w:rPr>
          <w:rFonts w:ascii="Verdana" w:hAnsi="Verdana" w:cs="Calibri"/>
          <w:b/>
          <w:color w:val="4472C4"/>
        </w:rPr>
        <w:t>Durée :</w:t>
      </w:r>
      <w:r w:rsidR="00FB1931">
        <w:rPr>
          <w:rFonts w:ascii="Verdana" w:hAnsi="Verdana" w:cs="Calibri"/>
          <w:bCs/>
        </w:rPr>
        <w:t xml:space="preserve"> </w:t>
      </w:r>
      <w:r w:rsidR="002126E1">
        <w:rPr>
          <w:rFonts w:ascii="Verdana" w:hAnsi="Verdana" w:cs="Calibri"/>
          <w:bCs/>
        </w:rPr>
        <w:t>20 minutes</w:t>
      </w:r>
    </w:p>
    <w:p w14:paraId="6568217D" w14:textId="77777777" w:rsidR="00931752" w:rsidRPr="006E7D3B" w:rsidRDefault="00931752" w:rsidP="00931752">
      <w:pPr>
        <w:widowControl w:val="0"/>
        <w:spacing w:before="240" w:after="240" w:line="240" w:lineRule="auto"/>
        <w:jc w:val="both"/>
        <w:rPr>
          <w:rFonts w:ascii="Verdana" w:hAnsi="Verdana" w:cs="Calibri"/>
          <w:b/>
          <w:color w:val="0066CC"/>
        </w:rPr>
      </w:pPr>
      <w:r w:rsidRPr="006E7D3B">
        <w:rPr>
          <w:rFonts w:ascii="Verdana" w:hAnsi="Verdana" w:cs="Calibri"/>
          <w:b/>
          <w:color w:val="0066CC"/>
        </w:rPr>
        <w:t xml:space="preserve">Ressources : </w:t>
      </w:r>
    </w:p>
    <w:p w14:paraId="1674D8B5" w14:textId="0994BA60" w:rsidR="001965B8" w:rsidRPr="001965B8" w:rsidRDefault="009F56C8" w:rsidP="0099407D">
      <w:pPr>
        <w:widowControl w:val="0"/>
        <w:numPr>
          <w:ilvl w:val="0"/>
          <w:numId w:val="12"/>
        </w:numPr>
        <w:spacing w:before="120" w:after="120" w:line="240" w:lineRule="auto"/>
        <w:rPr>
          <w:rFonts w:ascii="Verdana" w:hAnsi="Verdana" w:cs="Calibri"/>
          <w:b/>
        </w:rPr>
      </w:pPr>
      <w:r w:rsidRPr="001965B8">
        <w:rPr>
          <w:rFonts w:ascii="Verdana" w:hAnsi="Verdana" w:cs="Calibri"/>
          <w:kern w:val="0"/>
          <w:lang w:eastAsia="fr-FR"/>
        </w:rPr>
        <w:t xml:space="preserve">Page </w:t>
      </w:r>
      <w:proofErr w:type="spellStart"/>
      <w:r w:rsidRPr="001965B8">
        <w:rPr>
          <w:rFonts w:ascii="Verdana" w:hAnsi="Verdana" w:cs="Calibri"/>
          <w:kern w:val="0"/>
          <w:lang w:eastAsia="fr-FR"/>
        </w:rPr>
        <w:t>éduscol</w:t>
      </w:r>
      <w:proofErr w:type="spellEnd"/>
      <w:r w:rsidRPr="001965B8">
        <w:rPr>
          <w:rFonts w:ascii="Verdana" w:hAnsi="Verdana" w:cs="Calibri"/>
          <w:kern w:val="0"/>
          <w:lang w:eastAsia="fr-FR"/>
        </w:rPr>
        <w:t xml:space="preserve"> relative à la </w:t>
      </w:r>
      <w:bookmarkStart w:id="1" w:name="_GoBack"/>
      <w:bookmarkEnd w:id="1"/>
      <w:r w:rsidR="003C3A5A">
        <w:fldChar w:fldCharType="begin"/>
      </w:r>
      <w:r w:rsidR="003C3A5A">
        <w:instrText xml:space="preserve"> HYPERLINK "https://eduscol.education.fr/1590/prevenir-les-lgbtphobies-en-milieu-scolaire" </w:instrText>
      </w:r>
      <w:r w:rsidR="003C3A5A">
        <w:fldChar w:fldCharType="separate"/>
      </w:r>
      <w:r w:rsidRPr="001965B8">
        <w:rPr>
          <w:rStyle w:val="Lienhypertexte"/>
          <w:rFonts w:ascii="Verdana" w:hAnsi="Verdana" w:cs="Calibri"/>
          <w:kern w:val="0"/>
          <w:lang w:eastAsia="fr-FR"/>
        </w:rPr>
        <w:t xml:space="preserve">prévention des </w:t>
      </w:r>
      <w:proofErr w:type="spellStart"/>
      <w:r w:rsidRPr="001965B8">
        <w:rPr>
          <w:rStyle w:val="Lienhypertexte"/>
          <w:rFonts w:ascii="Verdana" w:hAnsi="Verdana" w:cs="Calibri"/>
          <w:kern w:val="0"/>
          <w:lang w:eastAsia="fr-FR"/>
        </w:rPr>
        <w:t>LGBTphobi</w:t>
      </w:r>
      <w:r w:rsidR="001965B8" w:rsidRPr="001965B8">
        <w:rPr>
          <w:rStyle w:val="Lienhypertexte"/>
          <w:rFonts w:ascii="Verdana" w:hAnsi="Verdana" w:cs="Calibri"/>
          <w:kern w:val="0"/>
          <w:lang w:eastAsia="fr-FR"/>
        </w:rPr>
        <w:t>es</w:t>
      </w:r>
      <w:proofErr w:type="spellEnd"/>
      <w:r w:rsidR="001965B8" w:rsidRPr="001965B8">
        <w:rPr>
          <w:rStyle w:val="Lienhypertexte"/>
          <w:rFonts w:ascii="Verdana" w:hAnsi="Verdana" w:cs="Calibri"/>
          <w:kern w:val="0"/>
          <w:lang w:eastAsia="fr-FR"/>
        </w:rPr>
        <w:t xml:space="preserve"> en milieu scolaire</w:t>
      </w:r>
      <w:r w:rsidR="003C3A5A">
        <w:rPr>
          <w:rStyle w:val="Lienhypertexte"/>
          <w:rFonts w:ascii="Verdana" w:hAnsi="Verdana" w:cs="Calibri"/>
          <w:kern w:val="0"/>
          <w:lang w:eastAsia="fr-FR"/>
        </w:rPr>
        <w:fldChar w:fldCharType="end"/>
      </w:r>
    </w:p>
    <w:p w14:paraId="2156D428" w14:textId="0B214586" w:rsidR="00223F1B" w:rsidRPr="009F56C8" w:rsidRDefault="000E2DE8" w:rsidP="0099407D">
      <w:pPr>
        <w:widowControl w:val="0"/>
        <w:numPr>
          <w:ilvl w:val="0"/>
          <w:numId w:val="12"/>
        </w:numPr>
        <w:spacing w:before="120" w:after="120" w:line="240" w:lineRule="auto"/>
        <w:rPr>
          <w:rFonts w:ascii="Verdana" w:hAnsi="Verdana" w:cs="Calibri"/>
          <w:b/>
          <w:color w:val="4472C4"/>
        </w:rPr>
      </w:pPr>
      <w:r w:rsidRPr="009F56C8">
        <w:rPr>
          <w:rFonts w:ascii="Verdana" w:hAnsi="Verdana" w:cs="Calibri"/>
          <w:b/>
          <w:color w:val="4472C4"/>
        </w:rPr>
        <w:br w:type="page"/>
      </w:r>
    </w:p>
    <w:p w14:paraId="4EA32E59" w14:textId="06D01A95" w:rsidR="00223F1B" w:rsidRPr="009D6D62" w:rsidRDefault="00223F1B" w:rsidP="00223F1B">
      <w:pPr>
        <w:shd w:val="clear" w:color="auto" w:fill="4472C4"/>
        <w:spacing w:before="360" w:after="360" w:line="240" w:lineRule="auto"/>
        <w:rPr>
          <w:rFonts w:ascii="Verdana Pro Semibold" w:hAnsi="Verdana Pro Semibold"/>
          <w:caps/>
          <w:color w:val="FFFFFF"/>
        </w:rPr>
      </w:pPr>
      <w:r>
        <w:rPr>
          <w:rFonts w:ascii="Verdana Pro Semibold" w:hAnsi="Verdana Pro Semibold"/>
          <w:caps/>
          <w:color w:val="FFFFFF"/>
        </w:rPr>
        <w:lastRenderedPageBreak/>
        <w:t>Activit</w:t>
      </w:r>
      <w:r w:rsidR="008736DB">
        <w:rPr>
          <w:rFonts w:ascii="Verdana Pro Semibold" w:hAnsi="Verdana Pro Semibold"/>
          <w:caps/>
          <w:color w:val="FFFFFF"/>
        </w:rPr>
        <w:t>É</w:t>
      </w:r>
    </w:p>
    <w:p w14:paraId="41BFC64B" w14:textId="337B6600" w:rsidR="00FE56EA" w:rsidRDefault="008736DB" w:rsidP="00880F14">
      <w:pPr>
        <w:widowControl w:val="0"/>
        <w:spacing w:before="240" w:after="240" w:line="240" w:lineRule="auto"/>
        <w:jc w:val="both"/>
        <w:rPr>
          <w:rFonts w:ascii="Verdana" w:hAnsi="Verdana" w:cs="Calibri"/>
          <w:b/>
          <w:color w:val="0066CC"/>
        </w:rPr>
      </w:pPr>
      <w:r>
        <w:rPr>
          <w:rFonts w:ascii="Verdana" w:hAnsi="Verdana" w:cs="Calibri"/>
          <w:b/>
          <w:color w:val="0066CC"/>
        </w:rPr>
        <w:t>É</w:t>
      </w:r>
      <w:r w:rsidR="00A0486B" w:rsidRPr="000C1675">
        <w:rPr>
          <w:rFonts w:ascii="Verdana" w:hAnsi="Verdana" w:cs="Calibri"/>
          <w:b/>
          <w:color w:val="0066CC"/>
        </w:rPr>
        <w:t>noncé</w:t>
      </w:r>
    </w:p>
    <w:p w14:paraId="5854BC24" w14:textId="77777777" w:rsidR="002807B5" w:rsidRDefault="002126E1" w:rsidP="000E2DE8">
      <w:pPr>
        <w:widowControl w:val="0"/>
        <w:spacing w:before="120" w:after="120" w:line="240" w:lineRule="auto"/>
        <w:jc w:val="both"/>
        <w:rPr>
          <w:rFonts w:ascii="Verdana Pro" w:hAnsi="Verdana Pro" w:cstheme="minorHAnsi"/>
          <w:bCs/>
        </w:rPr>
      </w:pPr>
      <w:r w:rsidRPr="00C2170C">
        <w:rPr>
          <w:rFonts w:ascii="Verdana Pro" w:hAnsi="Verdana Pro" w:cstheme="minorHAnsi"/>
          <w:bCs/>
        </w:rPr>
        <w:t>L’</w:t>
      </w:r>
      <w:r w:rsidR="00E67F49">
        <w:rPr>
          <w:rFonts w:ascii="Verdana Pro" w:hAnsi="Verdana Pro" w:cstheme="minorHAnsi"/>
          <w:bCs/>
        </w:rPr>
        <w:t>Organisation de coopération et de développement économique (</w:t>
      </w:r>
      <w:r w:rsidRPr="00C2170C">
        <w:rPr>
          <w:rFonts w:ascii="Verdana Pro" w:hAnsi="Verdana Pro" w:cstheme="minorHAnsi"/>
          <w:bCs/>
        </w:rPr>
        <w:t>OCDE</w:t>
      </w:r>
      <w:r w:rsidR="00E67F49">
        <w:rPr>
          <w:rFonts w:ascii="Verdana Pro" w:hAnsi="Verdana Pro" w:cstheme="minorHAnsi"/>
          <w:bCs/>
        </w:rPr>
        <w:t>)</w:t>
      </w:r>
      <w:r w:rsidR="005C0E85" w:rsidRPr="00C2170C">
        <w:rPr>
          <w:rFonts w:ascii="Verdana Pro" w:hAnsi="Verdana Pro" w:cstheme="minorHAnsi"/>
          <w:bCs/>
        </w:rPr>
        <w:t xml:space="preserve"> et </w:t>
      </w:r>
      <w:r w:rsidR="00E67F49">
        <w:rPr>
          <w:rFonts w:ascii="Verdana Pro" w:hAnsi="Verdana Pro" w:cstheme="minorHAnsi"/>
          <w:bCs/>
        </w:rPr>
        <w:t xml:space="preserve">l’association </w:t>
      </w:r>
      <w:r w:rsidR="005C0E85" w:rsidRPr="00C2170C">
        <w:rPr>
          <w:rFonts w:ascii="Verdana Pro" w:hAnsi="Verdana Pro" w:cstheme="minorHAnsi"/>
          <w:bCs/>
        </w:rPr>
        <w:t>SOS homophobie ont testé l’impact d’interventions en milieu scolaire pour lutter contre l’homophobie et la transphobie.</w:t>
      </w:r>
    </w:p>
    <w:p w14:paraId="39097865" w14:textId="181B59BA" w:rsidR="005C0E85" w:rsidRPr="00C2170C" w:rsidRDefault="006B4541" w:rsidP="000E2DE8">
      <w:pPr>
        <w:widowControl w:val="0"/>
        <w:spacing w:before="120" w:after="120" w:line="240" w:lineRule="auto"/>
        <w:jc w:val="both"/>
        <w:rPr>
          <w:rFonts w:ascii="Verdana Pro" w:hAnsi="Verdana Pro" w:cstheme="minorHAnsi"/>
          <w:bCs/>
        </w:rPr>
      </w:pPr>
      <w:r>
        <w:rPr>
          <w:rFonts w:ascii="Verdana Pro" w:hAnsi="Verdana Pro" w:cstheme="minorHAnsi"/>
          <w:bCs/>
        </w:rPr>
        <w:t>D’après</w:t>
      </w:r>
      <w:r w:rsidR="005C0E85" w:rsidRPr="00C2170C">
        <w:rPr>
          <w:rFonts w:ascii="Verdana Pro" w:hAnsi="Verdana Pro" w:cstheme="minorHAnsi"/>
          <w:bCs/>
        </w:rPr>
        <w:t xml:space="preserve"> l’étude</w:t>
      </w:r>
      <w:r>
        <w:rPr>
          <w:rFonts w:ascii="Verdana Pro" w:hAnsi="Verdana Pro" w:cstheme="minorHAnsi"/>
          <w:bCs/>
        </w:rPr>
        <w:t xml:space="preserve">, </w:t>
      </w:r>
      <w:r w:rsidR="005C0E85" w:rsidRPr="00C2170C">
        <w:rPr>
          <w:rFonts w:ascii="Verdana Pro" w:hAnsi="Verdana Pro" w:cstheme="minorHAnsi"/>
          <w:bCs/>
        </w:rPr>
        <w:t xml:space="preserve">44% des élèves </w:t>
      </w:r>
      <w:r w:rsidR="001D2FAE">
        <w:rPr>
          <w:rFonts w:ascii="Verdana Pro" w:hAnsi="Verdana Pro" w:cstheme="minorHAnsi"/>
          <w:bCs/>
        </w:rPr>
        <w:t>seraient</w:t>
      </w:r>
      <w:r w:rsidR="005C0E85" w:rsidRPr="00C2170C">
        <w:rPr>
          <w:rFonts w:ascii="Verdana Pro" w:hAnsi="Verdana Pro" w:cstheme="minorHAnsi"/>
          <w:bCs/>
        </w:rPr>
        <w:t xml:space="preserve"> ouvert</w:t>
      </w:r>
      <w:r w:rsidR="001D2FAE">
        <w:rPr>
          <w:rFonts w:ascii="Verdana Pro" w:hAnsi="Verdana Pro" w:cstheme="minorHAnsi"/>
          <w:bCs/>
        </w:rPr>
        <w:t>s</w:t>
      </w:r>
      <w:r w:rsidR="005C0E85" w:rsidRPr="00C2170C">
        <w:rPr>
          <w:rFonts w:ascii="Verdana Pro" w:hAnsi="Verdana Pro" w:cstheme="minorHAnsi"/>
          <w:bCs/>
        </w:rPr>
        <w:t xml:space="preserve"> à l’inclusion LGBTI+ et conscient du harcèlement anti-LGBTI+</w:t>
      </w:r>
      <w:r w:rsidR="001D2FAE">
        <w:rPr>
          <w:rFonts w:ascii="Verdana Pro" w:hAnsi="Verdana Pro" w:cstheme="minorHAnsi"/>
          <w:bCs/>
        </w:rPr>
        <w:t xml:space="preserve"> avant intervention.</w:t>
      </w:r>
    </w:p>
    <w:p w14:paraId="11494520" w14:textId="6C4DEA71" w:rsidR="002126E1" w:rsidRDefault="00B165B7" w:rsidP="000E2DE8">
      <w:pPr>
        <w:widowControl w:val="0"/>
        <w:spacing w:before="120" w:after="120" w:line="240" w:lineRule="auto"/>
        <w:jc w:val="both"/>
        <w:rPr>
          <w:rFonts w:ascii="Verdana Pro" w:hAnsi="Verdana Pro" w:cstheme="minorHAnsi"/>
          <w:bCs/>
        </w:rPr>
      </w:pPr>
      <w:r w:rsidRPr="00C2170C">
        <w:rPr>
          <w:rFonts w:ascii="Verdana Pro" w:hAnsi="Verdana Pro" w:cs="Calibri"/>
          <w:noProof/>
          <w:kern w:val="0"/>
          <w:lang w:eastAsia="fr-FR"/>
        </w:rPr>
        <w:drawing>
          <wp:anchor distT="180340" distB="180340" distL="114300" distR="114300" simplePos="0" relativeHeight="251658240" behindDoc="0" locked="0" layoutInCell="1" allowOverlap="1" wp14:anchorId="3FEF4651" wp14:editId="28D72612">
            <wp:simplePos x="0" y="0"/>
            <wp:positionH relativeFrom="column">
              <wp:posOffset>345440</wp:posOffset>
            </wp:positionH>
            <wp:positionV relativeFrom="paragraph">
              <wp:posOffset>378460</wp:posOffset>
            </wp:positionV>
            <wp:extent cx="5032375" cy="1839595"/>
            <wp:effectExtent l="0" t="0" r="0" b="8255"/>
            <wp:wrapTopAndBottom/>
            <wp:docPr id="12491671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167188" name=""/>
                    <pic:cNvPicPr/>
                  </pic:nvPicPr>
                  <pic:blipFill>
                    <a:blip r:embed="rId13"/>
                    <a:stretch>
                      <a:fillRect/>
                    </a:stretch>
                  </pic:blipFill>
                  <pic:spPr>
                    <a:xfrm>
                      <a:off x="0" y="0"/>
                      <a:ext cx="5032375" cy="1839595"/>
                    </a:xfrm>
                    <a:prstGeom prst="rect">
                      <a:avLst/>
                    </a:prstGeom>
                  </pic:spPr>
                </pic:pic>
              </a:graphicData>
            </a:graphic>
            <wp14:sizeRelH relativeFrom="page">
              <wp14:pctWidth>0</wp14:pctWidth>
            </wp14:sizeRelH>
            <wp14:sizeRelV relativeFrom="page">
              <wp14:pctHeight>0</wp14:pctHeight>
            </wp14:sizeRelV>
          </wp:anchor>
        </w:drawing>
      </w:r>
      <w:r w:rsidR="005C0E85" w:rsidRPr="00C2170C">
        <w:rPr>
          <w:rFonts w:ascii="Verdana Pro" w:hAnsi="Verdana Pro" w:cstheme="minorHAnsi"/>
          <w:bCs/>
        </w:rPr>
        <w:t xml:space="preserve">Les résultats </w:t>
      </w:r>
      <w:r w:rsidR="001D2FAE">
        <w:rPr>
          <w:rFonts w:ascii="Verdana Pro" w:hAnsi="Verdana Pro" w:cstheme="minorHAnsi"/>
          <w:bCs/>
        </w:rPr>
        <w:t>de l’ét</w:t>
      </w:r>
      <w:r w:rsidR="00C90C2A">
        <w:rPr>
          <w:rFonts w:ascii="Verdana Pro" w:hAnsi="Verdana Pro" w:cstheme="minorHAnsi"/>
          <w:bCs/>
        </w:rPr>
        <w:t xml:space="preserve">ude </w:t>
      </w:r>
      <w:r w:rsidR="005C0E85" w:rsidRPr="00C2170C">
        <w:rPr>
          <w:rFonts w:ascii="Verdana Pro" w:hAnsi="Verdana Pro" w:cstheme="minorHAnsi"/>
          <w:bCs/>
        </w:rPr>
        <w:t>sont présentés ci-dessous :</w:t>
      </w:r>
    </w:p>
    <w:p w14:paraId="3FF7CF3E" w14:textId="64D5AE04" w:rsidR="000C1675" w:rsidRPr="00C90C2A" w:rsidRDefault="00B36610" w:rsidP="00C90C2A">
      <w:pPr>
        <w:widowControl w:val="0"/>
        <w:spacing w:before="120" w:after="120" w:line="240" w:lineRule="auto"/>
        <w:jc w:val="both"/>
        <w:rPr>
          <w:rFonts w:ascii="Verdana Pro Light" w:hAnsi="Verdana Pro Light" w:cstheme="minorHAnsi"/>
          <w:bCs/>
        </w:rPr>
      </w:pPr>
      <w:r w:rsidRPr="001D2FAE">
        <w:rPr>
          <w:rFonts w:ascii="Verdana Pro Light" w:hAnsi="Verdana Pro Light" w:cstheme="minorHAnsi"/>
          <w:bCs/>
        </w:rPr>
        <w:t xml:space="preserve">Source : </w:t>
      </w:r>
      <w:r w:rsidR="00C90C2A">
        <w:rPr>
          <w:rFonts w:ascii="Verdana Pro Light" w:hAnsi="Verdana Pro Light" w:cstheme="minorHAnsi"/>
          <w:bCs/>
        </w:rPr>
        <w:t xml:space="preserve">SOS homophobie à partir de </w:t>
      </w:r>
      <w:r w:rsidRPr="001D2FAE">
        <w:rPr>
          <w:rFonts w:ascii="Verdana Pro Light" w:hAnsi="Verdana Pro Light" w:cstheme="minorHAnsi"/>
          <w:bCs/>
        </w:rPr>
        <w:t>OCDE (2023), « Lutter contre l’homophobie et la transphobie à l’école – Une évaluation d’impact inédite », OCDE, Paris,</w:t>
      </w:r>
      <w:r w:rsidRPr="001D2FAE">
        <w:rPr>
          <w:rFonts w:ascii="Verdana Pro Light" w:hAnsi="Verdana Pro Light"/>
        </w:rPr>
        <w:t xml:space="preserve"> </w:t>
      </w:r>
      <w:r w:rsidRPr="001D2FAE">
        <w:rPr>
          <w:rFonts w:ascii="Verdana Pro Light" w:hAnsi="Verdana Pro Light"/>
          <w:color w:val="0000FF"/>
        </w:rPr>
        <w:t>http://oe.cd/lgbti-rct2023-fr</w:t>
      </w:r>
    </w:p>
    <w:p w14:paraId="15EECE71" w14:textId="33E0DD17" w:rsidR="00A0486B" w:rsidRPr="00880F14" w:rsidRDefault="00A0486B" w:rsidP="00880F14">
      <w:pPr>
        <w:widowControl w:val="0"/>
        <w:spacing w:before="240" w:after="240" w:line="240" w:lineRule="auto"/>
        <w:jc w:val="both"/>
        <w:rPr>
          <w:rFonts w:ascii="Verdana" w:hAnsi="Verdana" w:cs="Calibri"/>
          <w:b/>
          <w:color w:val="0066CC"/>
        </w:rPr>
      </w:pPr>
      <w:r w:rsidRPr="00880F14">
        <w:rPr>
          <w:rFonts w:ascii="Verdana" w:hAnsi="Verdana" w:cs="Calibri"/>
          <w:b/>
          <w:color w:val="0066CC"/>
        </w:rPr>
        <w:t>Problématiqu</w:t>
      </w:r>
      <w:r w:rsidR="000C1675" w:rsidRPr="00880F14">
        <w:rPr>
          <w:rFonts w:ascii="Verdana" w:hAnsi="Verdana" w:cs="Calibri"/>
          <w:b/>
          <w:color w:val="0066CC"/>
        </w:rPr>
        <w:t>e</w:t>
      </w:r>
    </w:p>
    <w:p w14:paraId="460D0070" w14:textId="53675035" w:rsidR="001A42C2" w:rsidRPr="00C90C2A" w:rsidRDefault="005C0E85" w:rsidP="001A42C2">
      <w:pPr>
        <w:widowControl w:val="0"/>
        <w:spacing w:before="120" w:after="120" w:line="240" w:lineRule="auto"/>
        <w:jc w:val="both"/>
        <w:rPr>
          <w:rFonts w:ascii="Verdana Pro" w:hAnsi="Verdana Pro" w:cs="Calibri"/>
          <w:kern w:val="0"/>
          <w:lang w:eastAsia="fr-FR"/>
        </w:rPr>
      </w:pPr>
      <w:r w:rsidRPr="00C90C2A">
        <w:rPr>
          <w:rFonts w:ascii="Verdana Pro" w:hAnsi="Verdana Pro" w:cs="Calibri"/>
          <w:kern w:val="0"/>
          <w:lang w:eastAsia="fr-FR"/>
        </w:rPr>
        <w:t>Combien d’interventions successives seraient nécessaires pour obtenir 100% d’ouverture à l’inclusion LGBTI+ chez les lycéens ?</w:t>
      </w:r>
    </w:p>
    <w:p w14:paraId="0E319623" w14:textId="12755531" w:rsidR="001A42C2" w:rsidRPr="00880F14" w:rsidRDefault="00880F14" w:rsidP="00880F14">
      <w:pPr>
        <w:widowControl w:val="0"/>
        <w:spacing w:before="240" w:after="240" w:line="240" w:lineRule="auto"/>
        <w:jc w:val="both"/>
        <w:rPr>
          <w:rFonts w:ascii="Verdana" w:hAnsi="Verdana" w:cs="Calibri"/>
          <w:b/>
          <w:color w:val="0066CC"/>
        </w:rPr>
      </w:pPr>
      <w:r w:rsidRPr="00880F14">
        <w:rPr>
          <w:rFonts w:ascii="Verdana" w:hAnsi="Verdana" w:cs="Calibri"/>
          <w:b/>
          <w:color w:val="0066CC"/>
        </w:rPr>
        <w:t>Pistes pour l’enseignant</w:t>
      </w:r>
    </w:p>
    <w:p w14:paraId="7AD421E4" w14:textId="3D407327" w:rsidR="00EA2A16" w:rsidRDefault="00931A8F" w:rsidP="00A0486B">
      <w:pPr>
        <w:widowControl w:val="0"/>
        <w:numPr>
          <w:ilvl w:val="0"/>
          <w:numId w:val="35"/>
        </w:numPr>
        <w:spacing w:before="120" w:after="120" w:line="240" w:lineRule="auto"/>
        <w:jc w:val="both"/>
        <w:rPr>
          <w:rFonts w:ascii="Verdana Pro" w:hAnsi="Verdana Pro" w:cs="Calibri"/>
          <w:kern w:val="0"/>
          <w:lang w:eastAsia="fr-FR"/>
        </w:rPr>
      </w:pPr>
      <w:r>
        <w:rPr>
          <w:rFonts w:ascii="Verdana Pro" w:hAnsi="Verdana Pro" w:cs="Calibri"/>
          <w:kern w:val="0"/>
          <w:lang w:eastAsia="fr-FR"/>
        </w:rPr>
        <w:t xml:space="preserve">Identifier le pourcentage </w:t>
      </w:r>
      <w:r w:rsidR="003745DE">
        <w:rPr>
          <w:rFonts w:ascii="Verdana Pro" w:hAnsi="Verdana Pro" w:cs="Calibri"/>
          <w:kern w:val="0"/>
          <w:lang w:eastAsia="fr-FR"/>
        </w:rPr>
        <w:t>d’augmentation</w:t>
      </w:r>
      <w:r w:rsidR="00B550C1">
        <w:rPr>
          <w:rFonts w:ascii="Verdana Pro" w:hAnsi="Verdana Pro" w:cs="Calibri"/>
          <w:kern w:val="0"/>
          <w:lang w:eastAsia="fr-FR"/>
        </w:rPr>
        <w:t xml:space="preserve"> d’élèves ouverts</w:t>
      </w:r>
      <w:r w:rsidR="000D3AE1">
        <w:rPr>
          <w:rFonts w:ascii="Verdana Pro" w:hAnsi="Verdana Pro" w:cs="Calibri"/>
          <w:kern w:val="0"/>
          <w:lang w:eastAsia="fr-FR"/>
        </w:rPr>
        <w:t xml:space="preserve"> à l’inclusion LGBTI+</w:t>
      </w:r>
      <w:r w:rsidR="00B550C1">
        <w:rPr>
          <w:rFonts w:ascii="Verdana Pro" w:hAnsi="Verdana Pro" w:cs="Calibri"/>
          <w:kern w:val="0"/>
          <w:lang w:eastAsia="fr-FR"/>
        </w:rPr>
        <w:t xml:space="preserve"> </w:t>
      </w:r>
      <w:r w:rsidR="006C0CDD">
        <w:rPr>
          <w:rFonts w:ascii="Verdana Pro" w:hAnsi="Verdana Pro" w:cs="Calibri"/>
          <w:kern w:val="0"/>
          <w:lang w:eastAsia="fr-FR"/>
        </w:rPr>
        <w:t>après intervention</w:t>
      </w:r>
      <w:r w:rsidR="00EA2A16">
        <w:rPr>
          <w:rFonts w:ascii="Verdana Pro" w:hAnsi="Verdana Pro" w:cs="Calibri"/>
          <w:kern w:val="0"/>
          <w:lang w:eastAsia="fr-FR"/>
        </w:rPr>
        <w:t>.</w:t>
      </w:r>
    </w:p>
    <w:p w14:paraId="2A05CBEE" w14:textId="07A74C4F" w:rsidR="00FE56EA" w:rsidRDefault="00931A8F" w:rsidP="005A60DB">
      <w:pPr>
        <w:widowControl w:val="0"/>
        <w:numPr>
          <w:ilvl w:val="0"/>
          <w:numId w:val="35"/>
        </w:numPr>
        <w:spacing w:before="120" w:after="120" w:line="240" w:lineRule="auto"/>
        <w:jc w:val="both"/>
        <w:rPr>
          <w:rFonts w:ascii="Verdana Pro" w:hAnsi="Verdana Pro" w:cs="Calibri"/>
          <w:kern w:val="0"/>
          <w:lang w:eastAsia="fr-FR"/>
        </w:rPr>
      </w:pPr>
      <w:r>
        <w:rPr>
          <w:rFonts w:ascii="Verdana Pro" w:hAnsi="Verdana Pro" w:cs="Calibri"/>
          <w:kern w:val="0"/>
          <w:lang w:eastAsia="fr-FR"/>
        </w:rPr>
        <w:t>Indiquer l’évolution du nombre d’élèves ouverts à l’inclusion LGBTI+ après chaque intervention</w:t>
      </w:r>
      <w:r w:rsidR="000D3AE1">
        <w:rPr>
          <w:rFonts w:ascii="Verdana Pro" w:hAnsi="Verdana Pro" w:cs="Calibri"/>
          <w:kern w:val="0"/>
          <w:lang w:eastAsia="fr-FR"/>
        </w:rPr>
        <w:t xml:space="preserve"> sous la forme d’un ta</w:t>
      </w:r>
      <w:r w:rsidR="00D16C5A">
        <w:rPr>
          <w:rFonts w:ascii="Verdana Pro" w:hAnsi="Verdana Pro" w:cs="Calibri"/>
          <w:kern w:val="0"/>
          <w:lang w:eastAsia="fr-FR"/>
        </w:rPr>
        <w:t>bleau</w:t>
      </w:r>
      <w:r>
        <w:rPr>
          <w:rFonts w:ascii="Verdana Pro" w:hAnsi="Verdana Pro" w:cs="Calibri"/>
          <w:kern w:val="0"/>
          <w:lang w:eastAsia="fr-FR"/>
        </w:rPr>
        <w:t>.</w:t>
      </w:r>
    </w:p>
    <w:p w14:paraId="6D825AD9" w14:textId="3540C669" w:rsidR="004E1663" w:rsidRPr="005A60DB" w:rsidRDefault="004E1663" w:rsidP="005A60DB">
      <w:pPr>
        <w:widowControl w:val="0"/>
        <w:numPr>
          <w:ilvl w:val="0"/>
          <w:numId w:val="35"/>
        </w:numPr>
        <w:spacing w:before="120" w:after="120" w:line="240" w:lineRule="auto"/>
        <w:jc w:val="both"/>
        <w:rPr>
          <w:rFonts w:ascii="Verdana Pro" w:hAnsi="Verdana Pro" w:cs="Calibri"/>
          <w:kern w:val="0"/>
          <w:lang w:eastAsia="fr-FR"/>
        </w:rPr>
      </w:pPr>
      <w:r>
        <w:rPr>
          <w:rFonts w:ascii="Verdana Pro" w:hAnsi="Verdana Pro" w:cs="Calibri"/>
          <w:kern w:val="0"/>
          <w:lang w:eastAsia="fr-FR"/>
        </w:rPr>
        <w:t xml:space="preserve">Modéliser l’évolution du nombre d’élèves ouverts à l’inclusion LGBTI+ </w:t>
      </w:r>
      <w:r w:rsidR="00152C0B">
        <w:rPr>
          <w:rFonts w:ascii="Verdana Pro" w:hAnsi="Verdana Pro" w:cs="Calibri"/>
          <w:kern w:val="0"/>
          <w:lang w:eastAsia="fr-FR"/>
        </w:rPr>
        <w:t>après chaque intervention par une suite géométrique.</w:t>
      </w:r>
    </w:p>
    <w:sectPr w:rsidR="004E1663" w:rsidRPr="005A60DB" w:rsidSect="00CF2DCC">
      <w:headerReference w:type="default" r:id="rId1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E5FF4" w14:textId="77777777" w:rsidR="003C3A5A" w:rsidRDefault="003C3A5A" w:rsidP="00F8117D">
      <w:pPr>
        <w:spacing w:after="0" w:line="240" w:lineRule="auto"/>
      </w:pPr>
      <w:r>
        <w:separator/>
      </w:r>
    </w:p>
  </w:endnote>
  <w:endnote w:type="continuationSeparator" w:id="0">
    <w:p w14:paraId="52B95632" w14:textId="77777777" w:rsidR="003C3A5A" w:rsidRDefault="003C3A5A" w:rsidP="00F8117D">
      <w:pPr>
        <w:spacing w:after="0" w:line="240" w:lineRule="auto"/>
      </w:pPr>
      <w:r>
        <w:continuationSeparator/>
      </w:r>
    </w:p>
  </w:endnote>
  <w:endnote w:type="continuationNotice" w:id="1">
    <w:p w14:paraId="6832F9A7" w14:textId="77777777" w:rsidR="003C3A5A" w:rsidRDefault="003C3A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Pro">
    <w:altName w:val="Arial"/>
    <w:charset w:val="00"/>
    <w:family w:val="swiss"/>
    <w:pitch w:val="variable"/>
    <w:sig w:usb0="00000001"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erdana Pro Semibold">
    <w:altName w:val="Arial"/>
    <w:charset w:val="00"/>
    <w:family w:val="swiss"/>
    <w:pitch w:val="variable"/>
    <w:sig w:usb0="00000001" w:usb1="00000043" w:usb2="00000000" w:usb3="00000000" w:csb0="0000009F" w:csb1="00000000"/>
  </w:font>
  <w:font w:name="Verdana Pro Light">
    <w:altName w:val="Arial"/>
    <w:charset w:val="00"/>
    <w:family w:val="swiss"/>
    <w:pitch w:val="variable"/>
    <w:sig w:usb0="00000001" w:usb1="0000004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73B5E" w14:textId="77777777" w:rsidR="008736DB" w:rsidRDefault="008736D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24546" w14:textId="1A499AB3" w:rsidR="00FE56EA" w:rsidRDefault="001F26AD" w:rsidP="00444645">
    <w:pPr>
      <w:pStyle w:val="Pieddepage"/>
      <w:tabs>
        <w:tab w:val="clear" w:pos="9072"/>
      </w:tabs>
    </w:pPr>
    <w:r>
      <w:rPr>
        <w:noProof/>
        <w:lang w:eastAsia="fr-FR"/>
      </w:rPr>
      <w:drawing>
        <wp:inline distT="0" distB="0" distL="0" distR="0" wp14:anchorId="33ED6BDA" wp14:editId="24558549">
          <wp:extent cx="352425" cy="352425"/>
          <wp:effectExtent l="0" t="0" r="0" b="0"/>
          <wp:docPr id="1" name="Image 3" descr="Une image contenant logo, Police, Graphique, cercle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Une image contenant logo, Police, Graphique, cercle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00FE56EA">
      <w:tab/>
      <w:t xml:space="preserve">GE2PR MPC </w:t>
    </w:r>
    <w:r w:rsidR="00223F1B">
      <w:tab/>
    </w:r>
    <w:r w:rsidR="00223F1B">
      <w:tab/>
    </w:r>
    <w:r w:rsidR="00223F1B">
      <w:tab/>
    </w:r>
    <w:r w:rsidR="00223F1B">
      <w:tab/>
    </w:r>
    <w:r w:rsidR="00FE56EA">
      <w:t xml:space="preserve">Page </w:t>
    </w:r>
    <w:r w:rsidR="00FE56EA">
      <w:rPr>
        <w:b/>
        <w:bCs/>
      </w:rPr>
      <w:fldChar w:fldCharType="begin"/>
    </w:r>
    <w:r w:rsidR="00FE56EA">
      <w:rPr>
        <w:b/>
        <w:bCs/>
      </w:rPr>
      <w:instrText>PAGE  \* Arabic  \* MERGEFORMAT</w:instrText>
    </w:r>
    <w:r w:rsidR="00FE56EA">
      <w:rPr>
        <w:b/>
        <w:bCs/>
      </w:rPr>
      <w:fldChar w:fldCharType="separate"/>
    </w:r>
    <w:r w:rsidR="008736DB">
      <w:rPr>
        <w:b/>
        <w:bCs/>
        <w:noProof/>
      </w:rPr>
      <w:t>2</w:t>
    </w:r>
    <w:r w:rsidR="00FE56EA">
      <w:rPr>
        <w:b/>
        <w:bCs/>
      </w:rPr>
      <w:fldChar w:fldCharType="end"/>
    </w:r>
    <w:r w:rsidR="00FE56EA">
      <w:t xml:space="preserve"> sur </w:t>
    </w:r>
    <w:r w:rsidR="003C3A5A">
      <w:fldChar w:fldCharType="begin"/>
    </w:r>
    <w:r w:rsidR="003C3A5A">
      <w:instrText>NUMPAGES  \* Arabic  \* MERGEFORMAT</w:instrText>
    </w:r>
    <w:r w:rsidR="003C3A5A">
      <w:fldChar w:fldCharType="separate"/>
    </w:r>
    <w:r w:rsidR="008736DB" w:rsidRPr="008736DB">
      <w:rPr>
        <w:b/>
        <w:bCs/>
        <w:noProof/>
      </w:rPr>
      <w:t>2</w:t>
    </w:r>
    <w:r w:rsidR="003C3A5A">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D84E7" w14:textId="77777777" w:rsidR="008736DB" w:rsidRDefault="008736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DEC9C" w14:textId="77777777" w:rsidR="003C3A5A" w:rsidRDefault="003C3A5A" w:rsidP="00F8117D">
      <w:pPr>
        <w:spacing w:after="0" w:line="240" w:lineRule="auto"/>
      </w:pPr>
      <w:r>
        <w:separator/>
      </w:r>
    </w:p>
  </w:footnote>
  <w:footnote w:type="continuationSeparator" w:id="0">
    <w:p w14:paraId="786EBD8B" w14:textId="77777777" w:rsidR="003C3A5A" w:rsidRDefault="003C3A5A" w:rsidP="00F8117D">
      <w:pPr>
        <w:spacing w:after="0" w:line="240" w:lineRule="auto"/>
      </w:pPr>
      <w:r>
        <w:continuationSeparator/>
      </w:r>
    </w:p>
  </w:footnote>
  <w:footnote w:type="continuationNotice" w:id="1">
    <w:p w14:paraId="5081A10C" w14:textId="77777777" w:rsidR="003C3A5A" w:rsidRDefault="003C3A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E7194" w14:textId="77777777" w:rsidR="008736DB" w:rsidRDefault="008736D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F2779" w14:textId="77777777" w:rsidR="00FE56EA" w:rsidRDefault="00FE56EA" w:rsidP="00A950AE">
    <w:pPr>
      <w:spacing w:after="0" w:line="240" w:lineRule="auto"/>
      <w:jc w:val="center"/>
      <w:rPr>
        <w:rFonts w:ascii="Verdana Pro Semibold" w:hAnsi="Verdana Pro Semibold"/>
        <w:caps/>
        <w:sz w:val="28"/>
        <w:szCs w:val="28"/>
      </w:rPr>
    </w:pPr>
    <w:r>
      <w:rPr>
        <w:rFonts w:ascii="Verdana Pro Semibold" w:hAnsi="Verdana Pro Semibold"/>
        <w:caps/>
        <w:sz w:val="28"/>
        <w:szCs w:val="28"/>
      </w:rPr>
      <w:t>Ressource</w:t>
    </w:r>
    <w:r w:rsidRPr="00326697">
      <w:rPr>
        <w:rFonts w:ascii="Verdana Pro Semibold" w:hAnsi="Verdana Pro Semibold"/>
        <w:caps/>
        <w:sz w:val="28"/>
        <w:szCs w:val="28"/>
      </w:rPr>
      <w:t> :</w:t>
    </w:r>
  </w:p>
  <w:p w14:paraId="14CA5AB9" w14:textId="5DC4C74E" w:rsidR="00FE56EA" w:rsidRPr="0001574E" w:rsidRDefault="00FE56EA" w:rsidP="0001574E">
    <w:pPr>
      <w:pStyle w:val="Titre3"/>
      <w:jc w:val="center"/>
      <w:rPr>
        <w:rFonts w:ascii="Verdana Pro Semibold" w:eastAsia="Calibri" w:hAnsi="Verdana Pro Semibold" w:cs="Arial"/>
        <w:b w:val="0"/>
        <w:bCs w:val="0"/>
        <w:caps/>
        <w:kern w:val="2"/>
        <w:sz w:val="28"/>
        <w:szCs w:val="28"/>
        <w:lang w:eastAsia="en-US"/>
      </w:rPr>
    </w:pPr>
    <w:r w:rsidRPr="0001574E">
      <w:rPr>
        <w:rFonts w:ascii="Verdana Pro Semibold" w:eastAsia="Calibri" w:hAnsi="Verdana Pro Semibold" w:cs="Arial"/>
        <w:b w:val="0"/>
        <w:bCs w:val="0"/>
        <w:caps/>
        <w:kern w:val="2"/>
        <w:sz w:val="28"/>
        <w:szCs w:val="28"/>
        <w:lang w:eastAsia="en-US"/>
      </w:rPr>
      <w:t>« </w:t>
    </w:r>
    <w:bookmarkStart w:id="0" w:name="_Hlk158195247"/>
    <w:bookmarkEnd w:id="0"/>
    <w:r w:rsidR="0001574E" w:rsidRPr="0001574E">
      <w:rPr>
        <w:rFonts w:ascii="Verdana Pro Semibold" w:eastAsia="Calibri" w:hAnsi="Verdana Pro Semibold" w:cs="Arial"/>
        <w:b w:val="0"/>
        <w:bCs w:val="0"/>
        <w:caps/>
        <w:kern w:val="2"/>
        <w:sz w:val="28"/>
        <w:szCs w:val="28"/>
        <w:lang w:eastAsia="en-US"/>
      </w:rPr>
      <w:t>journ</w:t>
    </w:r>
    <w:r w:rsidR="008736DB">
      <w:rPr>
        <w:rFonts w:ascii="Verdana Pro Semibold" w:eastAsia="Calibri" w:hAnsi="Verdana Pro Semibold" w:cs="Arial"/>
        <w:b w:val="0"/>
        <w:bCs w:val="0"/>
        <w:caps/>
        <w:kern w:val="2"/>
        <w:sz w:val="28"/>
        <w:szCs w:val="28"/>
        <w:lang w:eastAsia="en-US"/>
      </w:rPr>
      <w:t>É</w:t>
    </w:r>
    <w:r w:rsidR="0001574E" w:rsidRPr="0001574E">
      <w:rPr>
        <w:rFonts w:ascii="Verdana Pro Semibold" w:eastAsia="Calibri" w:hAnsi="Verdana Pro Semibold" w:cs="Arial"/>
        <w:b w:val="0"/>
        <w:bCs w:val="0"/>
        <w:caps/>
        <w:kern w:val="2"/>
        <w:sz w:val="28"/>
        <w:szCs w:val="28"/>
        <w:lang w:eastAsia="en-US"/>
      </w:rPr>
      <w:t>e mondiale contre l’homophobie, la transphobie et la biphobie</w:t>
    </w:r>
    <w:r w:rsidRPr="0001574E">
      <w:rPr>
        <w:rFonts w:ascii="Verdana Pro Semibold" w:hAnsi="Verdana Pro Semibold"/>
        <w:caps/>
        <w:sz w:val="28"/>
        <w:szCs w:val="28"/>
      </w:rP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844F6" w14:textId="77777777" w:rsidR="008736DB" w:rsidRDefault="008736D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111F6" w14:textId="77777777" w:rsidR="00FE56EA" w:rsidRPr="00070611" w:rsidRDefault="00FE56EA" w:rsidP="0007061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1CB7B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69020D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FC28CB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EA6041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0FE1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367A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40CC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F2B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687E8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150D1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C0561"/>
    <w:multiLevelType w:val="hybridMultilevel"/>
    <w:tmpl w:val="F4A881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32D1756"/>
    <w:multiLevelType w:val="hybridMultilevel"/>
    <w:tmpl w:val="C3A674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33249A1"/>
    <w:multiLevelType w:val="hybridMultilevel"/>
    <w:tmpl w:val="CECAA13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09524615"/>
    <w:multiLevelType w:val="hybridMultilevel"/>
    <w:tmpl w:val="BE2AEFFE"/>
    <w:lvl w:ilvl="0" w:tplc="040C0015">
      <w:start w:val="1"/>
      <w:numFmt w:val="upperLetter"/>
      <w:lvlText w:val="%1."/>
      <w:lvlJc w:val="left"/>
      <w:pPr>
        <w:ind w:left="780" w:hanging="360"/>
      </w:pPr>
      <w:rPr>
        <w:rFonts w:cs="Times New Roman"/>
      </w:rPr>
    </w:lvl>
    <w:lvl w:ilvl="1" w:tplc="040C0019" w:tentative="1">
      <w:start w:val="1"/>
      <w:numFmt w:val="lowerLetter"/>
      <w:lvlText w:val="%2."/>
      <w:lvlJc w:val="left"/>
      <w:pPr>
        <w:ind w:left="1500" w:hanging="360"/>
      </w:pPr>
      <w:rPr>
        <w:rFonts w:cs="Times New Roman"/>
      </w:rPr>
    </w:lvl>
    <w:lvl w:ilvl="2" w:tplc="040C001B" w:tentative="1">
      <w:start w:val="1"/>
      <w:numFmt w:val="lowerRoman"/>
      <w:lvlText w:val="%3."/>
      <w:lvlJc w:val="right"/>
      <w:pPr>
        <w:ind w:left="2220" w:hanging="180"/>
      </w:pPr>
      <w:rPr>
        <w:rFonts w:cs="Times New Roman"/>
      </w:rPr>
    </w:lvl>
    <w:lvl w:ilvl="3" w:tplc="040C000F" w:tentative="1">
      <w:start w:val="1"/>
      <w:numFmt w:val="decimal"/>
      <w:lvlText w:val="%4."/>
      <w:lvlJc w:val="left"/>
      <w:pPr>
        <w:ind w:left="2940" w:hanging="360"/>
      </w:pPr>
      <w:rPr>
        <w:rFonts w:cs="Times New Roman"/>
      </w:rPr>
    </w:lvl>
    <w:lvl w:ilvl="4" w:tplc="040C0019" w:tentative="1">
      <w:start w:val="1"/>
      <w:numFmt w:val="lowerLetter"/>
      <w:lvlText w:val="%5."/>
      <w:lvlJc w:val="left"/>
      <w:pPr>
        <w:ind w:left="3660" w:hanging="360"/>
      </w:pPr>
      <w:rPr>
        <w:rFonts w:cs="Times New Roman"/>
      </w:rPr>
    </w:lvl>
    <w:lvl w:ilvl="5" w:tplc="040C001B" w:tentative="1">
      <w:start w:val="1"/>
      <w:numFmt w:val="lowerRoman"/>
      <w:lvlText w:val="%6."/>
      <w:lvlJc w:val="right"/>
      <w:pPr>
        <w:ind w:left="4380" w:hanging="180"/>
      </w:pPr>
      <w:rPr>
        <w:rFonts w:cs="Times New Roman"/>
      </w:rPr>
    </w:lvl>
    <w:lvl w:ilvl="6" w:tplc="040C000F" w:tentative="1">
      <w:start w:val="1"/>
      <w:numFmt w:val="decimal"/>
      <w:lvlText w:val="%7."/>
      <w:lvlJc w:val="left"/>
      <w:pPr>
        <w:ind w:left="5100" w:hanging="360"/>
      </w:pPr>
      <w:rPr>
        <w:rFonts w:cs="Times New Roman"/>
      </w:rPr>
    </w:lvl>
    <w:lvl w:ilvl="7" w:tplc="040C0019" w:tentative="1">
      <w:start w:val="1"/>
      <w:numFmt w:val="lowerLetter"/>
      <w:lvlText w:val="%8."/>
      <w:lvlJc w:val="left"/>
      <w:pPr>
        <w:ind w:left="5820" w:hanging="360"/>
      </w:pPr>
      <w:rPr>
        <w:rFonts w:cs="Times New Roman"/>
      </w:rPr>
    </w:lvl>
    <w:lvl w:ilvl="8" w:tplc="040C001B" w:tentative="1">
      <w:start w:val="1"/>
      <w:numFmt w:val="lowerRoman"/>
      <w:lvlText w:val="%9."/>
      <w:lvlJc w:val="right"/>
      <w:pPr>
        <w:ind w:left="6540" w:hanging="180"/>
      </w:pPr>
      <w:rPr>
        <w:rFonts w:cs="Times New Roman"/>
      </w:rPr>
    </w:lvl>
  </w:abstractNum>
  <w:abstractNum w:abstractNumId="14" w15:restartNumberingAfterBreak="0">
    <w:nsid w:val="0A9A7505"/>
    <w:multiLevelType w:val="multilevel"/>
    <w:tmpl w:val="371EF4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B2F4132"/>
    <w:multiLevelType w:val="hybridMultilevel"/>
    <w:tmpl w:val="6720C296"/>
    <w:lvl w:ilvl="0" w:tplc="9E2A602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B4B5AEB"/>
    <w:multiLevelType w:val="hybridMultilevel"/>
    <w:tmpl w:val="4D005228"/>
    <w:lvl w:ilvl="0" w:tplc="AB0EDB5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0552F2C"/>
    <w:multiLevelType w:val="hybridMultilevel"/>
    <w:tmpl w:val="EBEC46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5981B8D"/>
    <w:multiLevelType w:val="hybridMultilevel"/>
    <w:tmpl w:val="57DE44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265D6793"/>
    <w:multiLevelType w:val="hybridMultilevel"/>
    <w:tmpl w:val="148A67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8EB0414"/>
    <w:multiLevelType w:val="hybridMultilevel"/>
    <w:tmpl w:val="26E2FE7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BD7822"/>
    <w:multiLevelType w:val="hybridMultilevel"/>
    <w:tmpl w:val="7E6C8890"/>
    <w:lvl w:ilvl="0" w:tplc="040C000F">
      <w:start w:val="1"/>
      <w:numFmt w:val="decimal"/>
      <w:lvlText w:val="%1."/>
      <w:lvlJc w:val="left"/>
      <w:pPr>
        <w:ind w:left="2160" w:hanging="360"/>
      </w:pPr>
      <w:rPr>
        <w:rFonts w:cs="Times New Roman"/>
      </w:rPr>
    </w:lvl>
    <w:lvl w:ilvl="1" w:tplc="040C0019" w:tentative="1">
      <w:start w:val="1"/>
      <w:numFmt w:val="lowerLetter"/>
      <w:lvlText w:val="%2."/>
      <w:lvlJc w:val="left"/>
      <w:pPr>
        <w:ind w:left="2880" w:hanging="360"/>
      </w:pPr>
      <w:rPr>
        <w:rFonts w:cs="Times New Roman"/>
      </w:rPr>
    </w:lvl>
    <w:lvl w:ilvl="2" w:tplc="040C001B" w:tentative="1">
      <w:start w:val="1"/>
      <w:numFmt w:val="lowerRoman"/>
      <w:lvlText w:val="%3."/>
      <w:lvlJc w:val="right"/>
      <w:pPr>
        <w:ind w:left="3600" w:hanging="180"/>
      </w:pPr>
      <w:rPr>
        <w:rFonts w:cs="Times New Roman"/>
      </w:rPr>
    </w:lvl>
    <w:lvl w:ilvl="3" w:tplc="040C000F" w:tentative="1">
      <w:start w:val="1"/>
      <w:numFmt w:val="decimal"/>
      <w:lvlText w:val="%4."/>
      <w:lvlJc w:val="left"/>
      <w:pPr>
        <w:ind w:left="4320" w:hanging="360"/>
      </w:pPr>
      <w:rPr>
        <w:rFonts w:cs="Times New Roman"/>
      </w:rPr>
    </w:lvl>
    <w:lvl w:ilvl="4" w:tplc="040C0019" w:tentative="1">
      <w:start w:val="1"/>
      <w:numFmt w:val="lowerLetter"/>
      <w:lvlText w:val="%5."/>
      <w:lvlJc w:val="left"/>
      <w:pPr>
        <w:ind w:left="5040" w:hanging="360"/>
      </w:pPr>
      <w:rPr>
        <w:rFonts w:cs="Times New Roman"/>
      </w:rPr>
    </w:lvl>
    <w:lvl w:ilvl="5" w:tplc="040C001B" w:tentative="1">
      <w:start w:val="1"/>
      <w:numFmt w:val="lowerRoman"/>
      <w:lvlText w:val="%6."/>
      <w:lvlJc w:val="right"/>
      <w:pPr>
        <w:ind w:left="5760" w:hanging="180"/>
      </w:pPr>
      <w:rPr>
        <w:rFonts w:cs="Times New Roman"/>
      </w:rPr>
    </w:lvl>
    <w:lvl w:ilvl="6" w:tplc="040C000F" w:tentative="1">
      <w:start w:val="1"/>
      <w:numFmt w:val="decimal"/>
      <w:lvlText w:val="%7."/>
      <w:lvlJc w:val="left"/>
      <w:pPr>
        <w:ind w:left="6480" w:hanging="360"/>
      </w:pPr>
      <w:rPr>
        <w:rFonts w:cs="Times New Roman"/>
      </w:rPr>
    </w:lvl>
    <w:lvl w:ilvl="7" w:tplc="040C0019" w:tentative="1">
      <w:start w:val="1"/>
      <w:numFmt w:val="lowerLetter"/>
      <w:lvlText w:val="%8."/>
      <w:lvlJc w:val="left"/>
      <w:pPr>
        <w:ind w:left="7200" w:hanging="360"/>
      </w:pPr>
      <w:rPr>
        <w:rFonts w:cs="Times New Roman"/>
      </w:rPr>
    </w:lvl>
    <w:lvl w:ilvl="8" w:tplc="040C001B" w:tentative="1">
      <w:start w:val="1"/>
      <w:numFmt w:val="lowerRoman"/>
      <w:lvlText w:val="%9."/>
      <w:lvlJc w:val="right"/>
      <w:pPr>
        <w:ind w:left="7920" w:hanging="180"/>
      </w:pPr>
      <w:rPr>
        <w:rFonts w:cs="Times New Roman"/>
      </w:rPr>
    </w:lvl>
  </w:abstractNum>
  <w:abstractNum w:abstractNumId="22" w15:restartNumberingAfterBreak="0">
    <w:nsid w:val="3FB77F8F"/>
    <w:multiLevelType w:val="multilevel"/>
    <w:tmpl w:val="371EF4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9B0812"/>
    <w:multiLevelType w:val="hybridMultilevel"/>
    <w:tmpl w:val="4B067C4C"/>
    <w:lvl w:ilvl="0" w:tplc="E0AA8444">
      <w:start w:val="1"/>
      <w:numFmt w:val="decimal"/>
      <w:lvlText w:val="%1."/>
      <w:lvlJc w:val="left"/>
      <w:pPr>
        <w:ind w:left="720" w:hanging="360"/>
      </w:pPr>
      <w:rPr>
        <w:rFonts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4" w15:restartNumberingAfterBreak="0">
    <w:nsid w:val="43D15879"/>
    <w:multiLevelType w:val="hybridMultilevel"/>
    <w:tmpl w:val="51C67BF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5" w15:restartNumberingAfterBreak="0">
    <w:nsid w:val="45F75335"/>
    <w:multiLevelType w:val="multilevel"/>
    <w:tmpl w:val="9ACCEB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6E3625"/>
    <w:multiLevelType w:val="hybridMultilevel"/>
    <w:tmpl w:val="6EBCB576"/>
    <w:lvl w:ilvl="0" w:tplc="60E00078">
      <w:start w:val="1"/>
      <w:numFmt w:val="decimal"/>
      <w:lvlText w:val="%1."/>
      <w:lvlJc w:val="left"/>
      <w:pPr>
        <w:ind w:left="216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7" w15:restartNumberingAfterBreak="0">
    <w:nsid w:val="516F4E82"/>
    <w:multiLevelType w:val="hybridMultilevel"/>
    <w:tmpl w:val="E730C9A8"/>
    <w:lvl w:ilvl="0" w:tplc="A79E0D1C">
      <w:start w:val="1"/>
      <w:numFmt w:val="bullet"/>
      <w:lvlText w:val="−"/>
      <w:lvlJc w:val="left"/>
      <w:pPr>
        <w:ind w:left="720" w:hanging="360"/>
      </w:pPr>
      <w:rPr>
        <w:rFonts w:ascii="Verdana Pro" w:hAnsi="Verdana Pro"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A083EC8"/>
    <w:multiLevelType w:val="multilevel"/>
    <w:tmpl w:val="FBB4C286"/>
    <w:lvl w:ilvl="0">
      <w:start w:val="1"/>
      <w:numFmt w:val="bullet"/>
      <w:lvlText w:val="−"/>
      <w:lvlJc w:val="left"/>
      <w:pPr>
        <w:ind w:left="720" w:hanging="360"/>
      </w:pPr>
      <w:rPr>
        <w:rFonts w:ascii="Verdana Pro" w:hAnsi="Verdana Pro"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873498"/>
    <w:multiLevelType w:val="hybridMultilevel"/>
    <w:tmpl w:val="5ADC08E6"/>
    <w:lvl w:ilvl="0" w:tplc="040C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D4C7D4B"/>
    <w:multiLevelType w:val="hybridMultilevel"/>
    <w:tmpl w:val="07BC19A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1" w15:restartNumberingAfterBreak="0">
    <w:nsid w:val="64B41B02"/>
    <w:multiLevelType w:val="multilevel"/>
    <w:tmpl w:val="AF143D8C"/>
    <w:lvl w:ilvl="0">
      <w:start w:val="1"/>
      <w:numFmt w:val="bullet"/>
      <w:lvlText w:val="−"/>
      <w:lvlJc w:val="left"/>
      <w:pPr>
        <w:ind w:left="720" w:hanging="360"/>
      </w:pPr>
      <w:rPr>
        <w:rFonts w:ascii="Verdana Pro" w:hAnsi="Verdana Pro" w:hint="default"/>
      </w:rPr>
    </w:lvl>
    <w:lvl w:ilvl="1">
      <w:start w:val="1"/>
      <w:numFmt w:val="bullet"/>
      <w:lvlText w:val="-"/>
      <w:lvlJc w:val="left"/>
      <w:pPr>
        <w:ind w:left="1440" w:hanging="360"/>
      </w:pPr>
      <w:rPr>
        <w:rFonts w:ascii="Arial" w:hAnsi="Arial"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2C1301"/>
    <w:multiLevelType w:val="hybridMultilevel"/>
    <w:tmpl w:val="819A77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7F436A5"/>
    <w:multiLevelType w:val="hybridMultilevel"/>
    <w:tmpl w:val="0DBAE7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85B39F9"/>
    <w:multiLevelType w:val="hybridMultilevel"/>
    <w:tmpl w:val="679664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3136571"/>
    <w:multiLevelType w:val="hybridMultilevel"/>
    <w:tmpl w:val="E56E27E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61020AB"/>
    <w:multiLevelType w:val="multilevel"/>
    <w:tmpl w:val="FBB4C286"/>
    <w:lvl w:ilvl="0">
      <w:start w:val="1"/>
      <w:numFmt w:val="bullet"/>
      <w:lvlText w:val="−"/>
      <w:lvlJc w:val="left"/>
      <w:pPr>
        <w:ind w:left="720" w:hanging="360"/>
      </w:pPr>
      <w:rPr>
        <w:rFonts w:ascii="Verdana Pro" w:hAnsi="Verdana Pro"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A9C0C22"/>
    <w:multiLevelType w:val="hybridMultilevel"/>
    <w:tmpl w:val="306E34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37"/>
  </w:num>
  <w:num w:numId="4">
    <w:abstractNumId w:val="32"/>
  </w:num>
  <w:num w:numId="5">
    <w:abstractNumId w:val="13"/>
  </w:num>
  <w:num w:numId="6">
    <w:abstractNumId w:val="23"/>
  </w:num>
  <w:num w:numId="7">
    <w:abstractNumId w:val="21"/>
  </w:num>
  <w:num w:numId="8">
    <w:abstractNumId w:val="26"/>
  </w:num>
  <w:num w:numId="9">
    <w:abstractNumId w:val="10"/>
  </w:num>
  <w:num w:numId="10">
    <w:abstractNumId w:val="34"/>
  </w:num>
  <w:num w:numId="11">
    <w:abstractNumId w:val="17"/>
  </w:num>
  <w:num w:numId="12">
    <w:abstractNumId w:val="28"/>
  </w:num>
  <w:num w:numId="13">
    <w:abstractNumId w:val="31"/>
  </w:num>
  <w:num w:numId="14">
    <w:abstractNumId w:val="36"/>
  </w:num>
  <w:num w:numId="15">
    <w:abstractNumId w:val="27"/>
  </w:num>
  <w:num w:numId="16">
    <w:abstractNumId w:val="15"/>
  </w:num>
  <w:num w:numId="17">
    <w:abstractNumId w:val="30"/>
  </w:num>
  <w:num w:numId="18">
    <w:abstractNumId w:val="16"/>
  </w:num>
  <w:num w:numId="19">
    <w:abstractNumId w:val="11"/>
  </w:num>
  <w:num w:numId="20">
    <w:abstractNumId w:val="29"/>
  </w:num>
  <w:num w:numId="21">
    <w:abstractNumId w:val="12"/>
  </w:num>
  <w:num w:numId="22">
    <w:abstractNumId w:val="35"/>
  </w:num>
  <w:num w:numId="23">
    <w:abstractNumId w:val="18"/>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20"/>
  </w:num>
  <w:num w:numId="35">
    <w:abstractNumId w:val="19"/>
  </w:num>
  <w:num w:numId="36">
    <w:abstractNumId w:val="33"/>
  </w:num>
  <w:num w:numId="37">
    <w:abstractNumId w:val="14"/>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D2"/>
    <w:rsid w:val="000018D8"/>
    <w:rsid w:val="00005A0D"/>
    <w:rsid w:val="000121BD"/>
    <w:rsid w:val="0001304B"/>
    <w:rsid w:val="0001574E"/>
    <w:rsid w:val="00020B77"/>
    <w:rsid w:val="00037CCE"/>
    <w:rsid w:val="00043BE6"/>
    <w:rsid w:val="00054345"/>
    <w:rsid w:val="0005779C"/>
    <w:rsid w:val="00070611"/>
    <w:rsid w:val="000777E2"/>
    <w:rsid w:val="00081363"/>
    <w:rsid w:val="00081C6A"/>
    <w:rsid w:val="0008251F"/>
    <w:rsid w:val="000A10CE"/>
    <w:rsid w:val="000A22A1"/>
    <w:rsid w:val="000A4897"/>
    <w:rsid w:val="000B03C4"/>
    <w:rsid w:val="000B48E4"/>
    <w:rsid w:val="000C1675"/>
    <w:rsid w:val="000D0A09"/>
    <w:rsid w:val="000D1C10"/>
    <w:rsid w:val="000D3AE1"/>
    <w:rsid w:val="000D6669"/>
    <w:rsid w:val="000E2DE8"/>
    <w:rsid w:val="001117C6"/>
    <w:rsid w:val="00136662"/>
    <w:rsid w:val="00141A7A"/>
    <w:rsid w:val="00142F1F"/>
    <w:rsid w:val="001464A4"/>
    <w:rsid w:val="00152C0B"/>
    <w:rsid w:val="00156E7E"/>
    <w:rsid w:val="00172B11"/>
    <w:rsid w:val="001737D2"/>
    <w:rsid w:val="00175CF0"/>
    <w:rsid w:val="00176BFB"/>
    <w:rsid w:val="00187F26"/>
    <w:rsid w:val="001923A9"/>
    <w:rsid w:val="001948E0"/>
    <w:rsid w:val="001965B8"/>
    <w:rsid w:val="001A2F1F"/>
    <w:rsid w:val="001A42C2"/>
    <w:rsid w:val="001C451E"/>
    <w:rsid w:val="001D2FAE"/>
    <w:rsid w:val="001D3DBD"/>
    <w:rsid w:val="001D521C"/>
    <w:rsid w:val="001E10BB"/>
    <w:rsid w:val="001F0BC4"/>
    <w:rsid w:val="001F26AD"/>
    <w:rsid w:val="001F2EA1"/>
    <w:rsid w:val="0020489F"/>
    <w:rsid w:val="002126E1"/>
    <w:rsid w:val="00215382"/>
    <w:rsid w:val="002157CC"/>
    <w:rsid w:val="00223F1B"/>
    <w:rsid w:val="00224877"/>
    <w:rsid w:val="00241C03"/>
    <w:rsid w:val="002600FD"/>
    <w:rsid w:val="00262206"/>
    <w:rsid w:val="002632AF"/>
    <w:rsid w:val="002679AA"/>
    <w:rsid w:val="0027173D"/>
    <w:rsid w:val="00276831"/>
    <w:rsid w:val="0027702D"/>
    <w:rsid w:val="002807B5"/>
    <w:rsid w:val="002920C0"/>
    <w:rsid w:val="002974D7"/>
    <w:rsid w:val="00297D86"/>
    <w:rsid w:val="002A226F"/>
    <w:rsid w:val="002A3CE1"/>
    <w:rsid w:val="002A4036"/>
    <w:rsid w:val="002B279E"/>
    <w:rsid w:val="002C1712"/>
    <w:rsid w:val="002F523C"/>
    <w:rsid w:val="002F5C22"/>
    <w:rsid w:val="003013E4"/>
    <w:rsid w:val="0031104B"/>
    <w:rsid w:val="00326697"/>
    <w:rsid w:val="00337F03"/>
    <w:rsid w:val="00342DEC"/>
    <w:rsid w:val="00344B7D"/>
    <w:rsid w:val="00356195"/>
    <w:rsid w:val="0036134F"/>
    <w:rsid w:val="00367178"/>
    <w:rsid w:val="003745DE"/>
    <w:rsid w:val="00374C4F"/>
    <w:rsid w:val="0038053B"/>
    <w:rsid w:val="00394854"/>
    <w:rsid w:val="0039636D"/>
    <w:rsid w:val="003C3A5A"/>
    <w:rsid w:val="003C42CE"/>
    <w:rsid w:val="003D4937"/>
    <w:rsid w:val="003D5DF3"/>
    <w:rsid w:val="003D6EE2"/>
    <w:rsid w:val="003E5659"/>
    <w:rsid w:val="003E7292"/>
    <w:rsid w:val="00401FAF"/>
    <w:rsid w:val="00410BE0"/>
    <w:rsid w:val="00440DB4"/>
    <w:rsid w:val="00444645"/>
    <w:rsid w:val="00446487"/>
    <w:rsid w:val="00451BAC"/>
    <w:rsid w:val="00457231"/>
    <w:rsid w:val="0046134A"/>
    <w:rsid w:val="00475294"/>
    <w:rsid w:val="0049524B"/>
    <w:rsid w:val="004A2C6A"/>
    <w:rsid w:val="004A325D"/>
    <w:rsid w:val="004B343D"/>
    <w:rsid w:val="004B538B"/>
    <w:rsid w:val="004E1663"/>
    <w:rsid w:val="0050373C"/>
    <w:rsid w:val="00520586"/>
    <w:rsid w:val="00522565"/>
    <w:rsid w:val="00530CBA"/>
    <w:rsid w:val="0053674E"/>
    <w:rsid w:val="00536BAC"/>
    <w:rsid w:val="005371E4"/>
    <w:rsid w:val="005555D5"/>
    <w:rsid w:val="0055780D"/>
    <w:rsid w:val="00560197"/>
    <w:rsid w:val="00560963"/>
    <w:rsid w:val="00563D25"/>
    <w:rsid w:val="0056589A"/>
    <w:rsid w:val="0059042B"/>
    <w:rsid w:val="005A0465"/>
    <w:rsid w:val="005A4A01"/>
    <w:rsid w:val="005A60DB"/>
    <w:rsid w:val="005B0FF0"/>
    <w:rsid w:val="005B2346"/>
    <w:rsid w:val="005C061A"/>
    <w:rsid w:val="005C0E85"/>
    <w:rsid w:val="005D0A2B"/>
    <w:rsid w:val="005D39A8"/>
    <w:rsid w:val="005D4714"/>
    <w:rsid w:val="00606FBB"/>
    <w:rsid w:val="00607CA8"/>
    <w:rsid w:val="006116F5"/>
    <w:rsid w:val="0062711E"/>
    <w:rsid w:val="00633D44"/>
    <w:rsid w:val="0063483B"/>
    <w:rsid w:val="0063488A"/>
    <w:rsid w:val="006409B1"/>
    <w:rsid w:val="006530CA"/>
    <w:rsid w:val="006555D6"/>
    <w:rsid w:val="00657357"/>
    <w:rsid w:val="00683D90"/>
    <w:rsid w:val="00696BC5"/>
    <w:rsid w:val="006A4095"/>
    <w:rsid w:val="006A56EE"/>
    <w:rsid w:val="006B026C"/>
    <w:rsid w:val="006B0C5F"/>
    <w:rsid w:val="006B2F5A"/>
    <w:rsid w:val="006B4541"/>
    <w:rsid w:val="006B6ACF"/>
    <w:rsid w:val="006B6FC9"/>
    <w:rsid w:val="006C0CDD"/>
    <w:rsid w:val="006C6412"/>
    <w:rsid w:val="006D2306"/>
    <w:rsid w:val="006D35E0"/>
    <w:rsid w:val="006D5D25"/>
    <w:rsid w:val="006E1562"/>
    <w:rsid w:val="006E232E"/>
    <w:rsid w:val="006E3210"/>
    <w:rsid w:val="006E7D3B"/>
    <w:rsid w:val="00720DD1"/>
    <w:rsid w:val="0074631C"/>
    <w:rsid w:val="0074708F"/>
    <w:rsid w:val="00750756"/>
    <w:rsid w:val="007573EC"/>
    <w:rsid w:val="00757AC6"/>
    <w:rsid w:val="00771E30"/>
    <w:rsid w:val="00777EDF"/>
    <w:rsid w:val="00791BF3"/>
    <w:rsid w:val="00791D65"/>
    <w:rsid w:val="007936C7"/>
    <w:rsid w:val="0079538D"/>
    <w:rsid w:val="007A77B0"/>
    <w:rsid w:val="007B05EE"/>
    <w:rsid w:val="007B0A75"/>
    <w:rsid w:val="007B57B4"/>
    <w:rsid w:val="007C3FA8"/>
    <w:rsid w:val="007C5863"/>
    <w:rsid w:val="007C5F28"/>
    <w:rsid w:val="007C766E"/>
    <w:rsid w:val="007D3295"/>
    <w:rsid w:val="007E2556"/>
    <w:rsid w:val="007E37DE"/>
    <w:rsid w:val="007E5CE2"/>
    <w:rsid w:val="007F64F6"/>
    <w:rsid w:val="00802429"/>
    <w:rsid w:val="0080460D"/>
    <w:rsid w:val="00815BBA"/>
    <w:rsid w:val="00816D91"/>
    <w:rsid w:val="00821E2C"/>
    <w:rsid w:val="008325A3"/>
    <w:rsid w:val="00843F5A"/>
    <w:rsid w:val="00847DA3"/>
    <w:rsid w:val="00852C29"/>
    <w:rsid w:val="00853648"/>
    <w:rsid w:val="0086130C"/>
    <w:rsid w:val="008736DB"/>
    <w:rsid w:val="00880F14"/>
    <w:rsid w:val="0088128C"/>
    <w:rsid w:val="00884262"/>
    <w:rsid w:val="00891780"/>
    <w:rsid w:val="00891DE8"/>
    <w:rsid w:val="008A0A72"/>
    <w:rsid w:val="008A0A9A"/>
    <w:rsid w:val="008B5A33"/>
    <w:rsid w:val="008C2462"/>
    <w:rsid w:val="008D04E4"/>
    <w:rsid w:val="008D6C80"/>
    <w:rsid w:val="008E3FA7"/>
    <w:rsid w:val="008F1E86"/>
    <w:rsid w:val="008F53EA"/>
    <w:rsid w:val="00903510"/>
    <w:rsid w:val="00906C93"/>
    <w:rsid w:val="0090722E"/>
    <w:rsid w:val="00912B44"/>
    <w:rsid w:val="00930525"/>
    <w:rsid w:val="00931752"/>
    <w:rsid w:val="00931A8F"/>
    <w:rsid w:val="00937CD8"/>
    <w:rsid w:val="00942125"/>
    <w:rsid w:val="00947669"/>
    <w:rsid w:val="00952523"/>
    <w:rsid w:val="00955A78"/>
    <w:rsid w:val="009672C4"/>
    <w:rsid w:val="00977F2B"/>
    <w:rsid w:val="009846F0"/>
    <w:rsid w:val="00993C6F"/>
    <w:rsid w:val="009956BD"/>
    <w:rsid w:val="009A2F6A"/>
    <w:rsid w:val="009A6F8E"/>
    <w:rsid w:val="009B4EB3"/>
    <w:rsid w:val="009B794C"/>
    <w:rsid w:val="009C2C38"/>
    <w:rsid w:val="009C2FBF"/>
    <w:rsid w:val="009D6D62"/>
    <w:rsid w:val="009E4454"/>
    <w:rsid w:val="009F56C8"/>
    <w:rsid w:val="00A0486B"/>
    <w:rsid w:val="00A07986"/>
    <w:rsid w:val="00A11EF5"/>
    <w:rsid w:val="00A266FB"/>
    <w:rsid w:val="00A35701"/>
    <w:rsid w:val="00A61B45"/>
    <w:rsid w:val="00A950AE"/>
    <w:rsid w:val="00AB2E30"/>
    <w:rsid w:val="00AB6172"/>
    <w:rsid w:val="00AC1282"/>
    <w:rsid w:val="00AC763F"/>
    <w:rsid w:val="00AD6934"/>
    <w:rsid w:val="00AD6E9A"/>
    <w:rsid w:val="00AE567F"/>
    <w:rsid w:val="00AE6B40"/>
    <w:rsid w:val="00B04F51"/>
    <w:rsid w:val="00B07B49"/>
    <w:rsid w:val="00B128A0"/>
    <w:rsid w:val="00B12A9A"/>
    <w:rsid w:val="00B165B7"/>
    <w:rsid w:val="00B16EDE"/>
    <w:rsid w:val="00B23A75"/>
    <w:rsid w:val="00B273E1"/>
    <w:rsid w:val="00B36610"/>
    <w:rsid w:val="00B37D09"/>
    <w:rsid w:val="00B550C1"/>
    <w:rsid w:val="00B60263"/>
    <w:rsid w:val="00B74DC9"/>
    <w:rsid w:val="00B856BB"/>
    <w:rsid w:val="00BC0B2C"/>
    <w:rsid w:val="00BC0B34"/>
    <w:rsid w:val="00BC42A1"/>
    <w:rsid w:val="00BD3D30"/>
    <w:rsid w:val="00BD4CC8"/>
    <w:rsid w:val="00BE254E"/>
    <w:rsid w:val="00BF17AD"/>
    <w:rsid w:val="00BF364A"/>
    <w:rsid w:val="00BF4A32"/>
    <w:rsid w:val="00C02B11"/>
    <w:rsid w:val="00C03E70"/>
    <w:rsid w:val="00C10F82"/>
    <w:rsid w:val="00C147DB"/>
    <w:rsid w:val="00C16A94"/>
    <w:rsid w:val="00C16D67"/>
    <w:rsid w:val="00C2170C"/>
    <w:rsid w:val="00C26B98"/>
    <w:rsid w:val="00C279B6"/>
    <w:rsid w:val="00C27DF9"/>
    <w:rsid w:val="00C61ADE"/>
    <w:rsid w:val="00C657DA"/>
    <w:rsid w:val="00C7178B"/>
    <w:rsid w:val="00C90C2A"/>
    <w:rsid w:val="00C937DF"/>
    <w:rsid w:val="00C952D9"/>
    <w:rsid w:val="00CB23D7"/>
    <w:rsid w:val="00CF2DCC"/>
    <w:rsid w:val="00CF4602"/>
    <w:rsid w:val="00D02020"/>
    <w:rsid w:val="00D1519C"/>
    <w:rsid w:val="00D1536C"/>
    <w:rsid w:val="00D16A84"/>
    <w:rsid w:val="00D16C5A"/>
    <w:rsid w:val="00D4375B"/>
    <w:rsid w:val="00D4588D"/>
    <w:rsid w:val="00D509B2"/>
    <w:rsid w:val="00D516AD"/>
    <w:rsid w:val="00D75737"/>
    <w:rsid w:val="00D760C5"/>
    <w:rsid w:val="00D77D9D"/>
    <w:rsid w:val="00D914AD"/>
    <w:rsid w:val="00D928D9"/>
    <w:rsid w:val="00DA36EF"/>
    <w:rsid w:val="00DA5CD6"/>
    <w:rsid w:val="00DB5701"/>
    <w:rsid w:val="00DB7C1A"/>
    <w:rsid w:val="00DC399A"/>
    <w:rsid w:val="00DC4D35"/>
    <w:rsid w:val="00DD0340"/>
    <w:rsid w:val="00DD1112"/>
    <w:rsid w:val="00DD417F"/>
    <w:rsid w:val="00DD4312"/>
    <w:rsid w:val="00DE1B80"/>
    <w:rsid w:val="00DF3D42"/>
    <w:rsid w:val="00DF5C6D"/>
    <w:rsid w:val="00E00D15"/>
    <w:rsid w:val="00E02C68"/>
    <w:rsid w:val="00E03547"/>
    <w:rsid w:val="00E065C8"/>
    <w:rsid w:val="00E072EB"/>
    <w:rsid w:val="00E20AAA"/>
    <w:rsid w:val="00E232A5"/>
    <w:rsid w:val="00E3694E"/>
    <w:rsid w:val="00E51714"/>
    <w:rsid w:val="00E562F6"/>
    <w:rsid w:val="00E62CB3"/>
    <w:rsid w:val="00E650D7"/>
    <w:rsid w:val="00E67F49"/>
    <w:rsid w:val="00E733B1"/>
    <w:rsid w:val="00EA2A16"/>
    <w:rsid w:val="00EB548B"/>
    <w:rsid w:val="00EE7089"/>
    <w:rsid w:val="00EF51D4"/>
    <w:rsid w:val="00EF5BDE"/>
    <w:rsid w:val="00F00421"/>
    <w:rsid w:val="00F05784"/>
    <w:rsid w:val="00F0635E"/>
    <w:rsid w:val="00F11D66"/>
    <w:rsid w:val="00F131A7"/>
    <w:rsid w:val="00F20D17"/>
    <w:rsid w:val="00F25CC7"/>
    <w:rsid w:val="00F53A69"/>
    <w:rsid w:val="00F636D4"/>
    <w:rsid w:val="00F80F58"/>
    <w:rsid w:val="00F8117D"/>
    <w:rsid w:val="00F84508"/>
    <w:rsid w:val="00F910DF"/>
    <w:rsid w:val="00F91C49"/>
    <w:rsid w:val="00F9424C"/>
    <w:rsid w:val="00FA37F7"/>
    <w:rsid w:val="00FA5692"/>
    <w:rsid w:val="00FB1931"/>
    <w:rsid w:val="00FC41DB"/>
    <w:rsid w:val="00FD2B99"/>
    <w:rsid w:val="00FE086E"/>
    <w:rsid w:val="00FE2E7E"/>
    <w:rsid w:val="00FE56EA"/>
    <w:rsid w:val="00FF48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A0EBBF"/>
  <w15:docId w15:val="{84D1C2DA-ECD0-4DDB-95F8-C2302306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3A9"/>
    <w:pPr>
      <w:spacing w:after="160" w:line="259" w:lineRule="auto"/>
    </w:pPr>
    <w:rPr>
      <w:kern w:val="2"/>
      <w:lang w:eastAsia="en-US"/>
    </w:rPr>
  </w:style>
  <w:style w:type="paragraph" w:styleId="Titre3">
    <w:name w:val="heading 3"/>
    <w:basedOn w:val="Normal"/>
    <w:link w:val="Titre3Car"/>
    <w:uiPriority w:val="9"/>
    <w:qFormat/>
    <w:locked/>
    <w:rsid w:val="0001574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F8117D"/>
    <w:pPr>
      <w:tabs>
        <w:tab w:val="center" w:pos="4536"/>
        <w:tab w:val="right" w:pos="9072"/>
      </w:tabs>
      <w:spacing w:after="0" w:line="240" w:lineRule="auto"/>
    </w:pPr>
  </w:style>
  <w:style w:type="character" w:customStyle="1" w:styleId="En-tteCar">
    <w:name w:val="En-tête Car"/>
    <w:basedOn w:val="Policepardfaut"/>
    <w:link w:val="En-tte"/>
    <w:uiPriority w:val="99"/>
    <w:locked/>
    <w:rsid w:val="00F8117D"/>
    <w:rPr>
      <w:rFonts w:cs="Times New Roman"/>
    </w:rPr>
  </w:style>
  <w:style w:type="paragraph" w:styleId="Pieddepage">
    <w:name w:val="footer"/>
    <w:basedOn w:val="Normal"/>
    <w:link w:val="PieddepageCar"/>
    <w:uiPriority w:val="99"/>
    <w:rsid w:val="00F8117D"/>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F8117D"/>
    <w:rPr>
      <w:rFonts w:cs="Times New Roman"/>
    </w:rPr>
  </w:style>
  <w:style w:type="paragraph" w:customStyle="1" w:styleId="Contenudecadre">
    <w:name w:val="Contenu de cadre"/>
    <w:basedOn w:val="Normal"/>
    <w:uiPriority w:val="99"/>
    <w:rsid w:val="00F8117D"/>
    <w:pPr>
      <w:spacing w:after="0" w:line="240" w:lineRule="auto"/>
    </w:pPr>
    <w:rPr>
      <w:rFonts w:ascii="Verdana" w:hAnsi="Verdana" w:cs="Times New Roman"/>
      <w:kern w:val="0"/>
      <w:sz w:val="18"/>
      <w:szCs w:val="18"/>
      <w:lang w:val="fr-CA" w:eastAsia="fr-FR"/>
    </w:rPr>
  </w:style>
  <w:style w:type="paragraph" w:styleId="Paragraphedeliste">
    <w:name w:val="List Paragraph"/>
    <w:basedOn w:val="Normal"/>
    <w:uiPriority w:val="99"/>
    <w:qFormat/>
    <w:rsid w:val="004A2C6A"/>
    <w:pPr>
      <w:ind w:left="720"/>
      <w:contextualSpacing/>
    </w:pPr>
  </w:style>
  <w:style w:type="character" w:styleId="Textedelespacerserv">
    <w:name w:val="Placeholder Text"/>
    <w:basedOn w:val="Policepardfaut"/>
    <w:uiPriority w:val="99"/>
    <w:semiHidden/>
    <w:rsid w:val="00043BE6"/>
    <w:rPr>
      <w:rFonts w:cs="Times New Roman"/>
      <w:color w:val="808080"/>
    </w:rPr>
  </w:style>
  <w:style w:type="character" w:styleId="lev">
    <w:name w:val="Strong"/>
    <w:basedOn w:val="Policepardfaut"/>
    <w:uiPriority w:val="22"/>
    <w:qFormat/>
    <w:rsid w:val="008D04E4"/>
    <w:rPr>
      <w:rFonts w:cs="Times New Roman"/>
      <w:b/>
      <w:bCs/>
    </w:rPr>
  </w:style>
  <w:style w:type="character" w:styleId="Accentuation">
    <w:name w:val="Emphasis"/>
    <w:basedOn w:val="Policepardfaut"/>
    <w:uiPriority w:val="99"/>
    <w:qFormat/>
    <w:rsid w:val="008D04E4"/>
    <w:rPr>
      <w:rFonts w:cs="Times New Roman"/>
      <w:i/>
      <w:iCs/>
    </w:rPr>
  </w:style>
  <w:style w:type="paragraph" w:styleId="Textedebulles">
    <w:name w:val="Balloon Text"/>
    <w:basedOn w:val="Normal"/>
    <w:link w:val="TextedebullesCar"/>
    <w:uiPriority w:val="99"/>
    <w:semiHidden/>
    <w:rsid w:val="003D49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3D4937"/>
    <w:rPr>
      <w:rFonts w:ascii="Tahoma" w:hAnsi="Tahoma" w:cs="Tahoma"/>
      <w:sz w:val="16"/>
      <w:szCs w:val="16"/>
    </w:rPr>
  </w:style>
  <w:style w:type="paragraph" w:styleId="Sansinterligne">
    <w:name w:val="No Spacing"/>
    <w:uiPriority w:val="99"/>
    <w:qFormat/>
    <w:rsid w:val="003D4937"/>
    <w:rPr>
      <w:kern w:val="2"/>
      <w:lang w:eastAsia="en-US"/>
    </w:rPr>
  </w:style>
  <w:style w:type="paragraph" w:styleId="Rvision">
    <w:name w:val="Revision"/>
    <w:hidden/>
    <w:uiPriority w:val="99"/>
    <w:semiHidden/>
    <w:rsid w:val="008E3FA7"/>
    <w:rPr>
      <w:kern w:val="2"/>
      <w:lang w:eastAsia="en-US"/>
    </w:rPr>
  </w:style>
  <w:style w:type="character" w:styleId="Marquedecommentaire">
    <w:name w:val="annotation reference"/>
    <w:basedOn w:val="Policepardfaut"/>
    <w:uiPriority w:val="99"/>
    <w:semiHidden/>
    <w:rsid w:val="008E3FA7"/>
    <w:rPr>
      <w:rFonts w:cs="Times New Roman"/>
      <w:sz w:val="16"/>
      <w:szCs w:val="16"/>
    </w:rPr>
  </w:style>
  <w:style w:type="paragraph" w:styleId="Commentaire">
    <w:name w:val="annotation text"/>
    <w:basedOn w:val="Normal"/>
    <w:link w:val="CommentaireCar"/>
    <w:uiPriority w:val="99"/>
    <w:rsid w:val="008E3FA7"/>
    <w:pPr>
      <w:spacing w:line="240" w:lineRule="auto"/>
    </w:pPr>
    <w:rPr>
      <w:sz w:val="20"/>
      <w:szCs w:val="20"/>
    </w:rPr>
  </w:style>
  <w:style w:type="character" w:customStyle="1" w:styleId="CommentaireCar">
    <w:name w:val="Commentaire Car"/>
    <w:basedOn w:val="Policepardfaut"/>
    <w:link w:val="Commentaire"/>
    <w:uiPriority w:val="99"/>
    <w:locked/>
    <w:rsid w:val="008E3FA7"/>
    <w:rPr>
      <w:rFonts w:cs="Times New Roman"/>
      <w:sz w:val="20"/>
      <w:szCs w:val="20"/>
    </w:rPr>
  </w:style>
  <w:style w:type="paragraph" w:styleId="Objetducommentaire">
    <w:name w:val="annotation subject"/>
    <w:basedOn w:val="Commentaire"/>
    <w:next w:val="Commentaire"/>
    <w:link w:val="ObjetducommentaireCar"/>
    <w:uiPriority w:val="99"/>
    <w:semiHidden/>
    <w:rsid w:val="008E3FA7"/>
    <w:rPr>
      <w:b/>
      <w:bCs/>
    </w:rPr>
  </w:style>
  <w:style w:type="character" w:customStyle="1" w:styleId="ObjetducommentaireCar">
    <w:name w:val="Objet du commentaire Car"/>
    <w:basedOn w:val="CommentaireCar"/>
    <w:link w:val="Objetducommentaire"/>
    <w:uiPriority w:val="99"/>
    <w:semiHidden/>
    <w:locked/>
    <w:rsid w:val="008E3FA7"/>
    <w:rPr>
      <w:rFonts w:cs="Times New Roman"/>
      <w:b/>
      <w:bCs/>
      <w:sz w:val="20"/>
      <w:szCs w:val="20"/>
    </w:rPr>
  </w:style>
  <w:style w:type="character" w:styleId="Lienhypertexte">
    <w:name w:val="Hyperlink"/>
    <w:basedOn w:val="Policepardfaut"/>
    <w:uiPriority w:val="99"/>
    <w:rsid w:val="00401FAF"/>
    <w:rPr>
      <w:rFonts w:cs="Times New Roman"/>
      <w:color w:val="0563C1"/>
      <w:u w:val="single"/>
    </w:rPr>
  </w:style>
  <w:style w:type="character" w:customStyle="1" w:styleId="Mentionnonrsolue1">
    <w:name w:val="Mention non résolue1"/>
    <w:basedOn w:val="Policepardfaut"/>
    <w:uiPriority w:val="99"/>
    <w:semiHidden/>
    <w:rsid w:val="00401FAF"/>
    <w:rPr>
      <w:rFonts w:cs="Times New Roman"/>
      <w:color w:val="605E5C"/>
      <w:shd w:val="clear" w:color="auto" w:fill="E1DFDD"/>
    </w:rPr>
  </w:style>
  <w:style w:type="paragraph" w:styleId="Notedebasdepage">
    <w:name w:val="footnote text"/>
    <w:basedOn w:val="Normal"/>
    <w:link w:val="NotedebasdepageCar"/>
    <w:uiPriority w:val="99"/>
    <w:semiHidden/>
    <w:rsid w:val="00E02C68"/>
    <w:pPr>
      <w:spacing w:after="0" w:line="240" w:lineRule="auto"/>
    </w:pPr>
    <w:rPr>
      <w:sz w:val="20"/>
      <w:szCs w:val="20"/>
    </w:rPr>
  </w:style>
  <w:style w:type="character" w:customStyle="1" w:styleId="NotedebasdepageCar">
    <w:name w:val="Note de bas de page Car"/>
    <w:basedOn w:val="Policepardfaut"/>
    <w:link w:val="Notedebasdepage"/>
    <w:uiPriority w:val="99"/>
    <w:semiHidden/>
    <w:locked/>
    <w:rsid w:val="00E02C68"/>
    <w:rPr>
      <w:rFonts w:cs="Times New Roman"/>
      <w:sz w:val="20"/>
      <w:szCs w:val="20"/>
    </w:rPr>
  </w:style>
  <w:style w:type="character" w:styleId="Appelnotedebasdep">
    <w:name w:val="footnote reference"/>
    <w:basedOn w:val="Policepardfaut"/>
    <w:uiPriority w:val="99"/>
    <w:semiHidden/>
    <w:rsid w:val="00E02C68"/>
    <w:rPr>
      <w:rFonts w:cs="Times New Roman"/>
      <w:vertAlign w:val="superscript"/>
    </w:rPr>
  </w:style>
  <w:style w:type="paragraph" w:styleId="Lgende">
    <w:name w:val="caption"/>
    <w:basedOn w:val="Normal"/>
    <w:next w:val="Normal"/>
    <w:uiPriority w:val="99"/>
    <w:qFormat/>
    <w:rsid w:val="003013E4"/>
    <w:pPr>
      <w:spacing w:after="200" w:line="240" w:lineRule="auto"/>
    </w:pPr>
    <w:rPr>
      <w:i/>
      <w:iCs/>
      <w:color w:val="44546A"/>
      <w:sz w:val="18"/>
      <w:szCs w:val="18"/>
    </w:rPr>
  </w:style>
  <w:style w:type="paragraph" w:styleId="Notedefin">
    <w:name w:val="endnote text"/>
    <w:basedOn w:val="Normal"/>
    <w:link w:val="NotedefinCar"/>
    <w:uiPriority w:val="99"/>
    <w:semiHidden/>
    <w:rsid w:val="00C27DF9"/>
    <w:pPr>
      <w:spacing w:after="0" w:line="240" w:lineRule="auto"/>
    </w:pPr>
    <w:rPr>
      <w:sz w:val="20"/>
      <w:szCs w:val="20"/>
    </w:rPr>
  </w:style>
  <w:style w:type="character" w:customStyle="1" w:styleId="NotedefinCar">
    <w:name w:val="Note de fin Car"/>
    <w:basedOn w:val="Policepardfaut"/>
    <w:link w:val="Notedefin"/>
    <w:uiPriority w:val="99"/>
    <w:semiHidden/>
    <w:locked/>
    <w:rsid w:val="00C27DF9"/>
    <w:rPr>
      <w:rFonts w:cs="Times New Roman"/>
      <w:sz w:val="20"/>
      <w:szCs w:val="20"/>
    </w:rPr>
  </w:style>
  <w:style w:type="character" w:styleId="Appeldenotedefin">
    <w:name w:val="endnote reference"/>
    <w:basedOn w:val="Policepardfaut"/>
    <w:uiPriority w:val="99"/>
    <w:semiHidden/>
    <w:rsid w:val="00C27DF9"/>
    <w:rPr>
      <w:rFonts w:cs="Times New Roman"/>
      <w:vertAlign w:val="superscript"/>
    </w:rPr>
  </w:style>
  <w:style w:type="character" w:styleId="Lienhypertextesuivivisit">
    <w:name w:val="FollowedHyperlink"/>
    <w:basedOn w:val="Policepardfaut"/>
    <w:uiPriority w:val="99"/>
    <w:semiHidden/>
    <w:rsid w:val="00E3694E"/>
    <w:rPr>
      <w:rFonts w:cs="Times New Roman"/>
      <w:color w:val="954F72"/>
      <w:u w:val="single"/>
    </w:rPr>
  </w:style>
  <w:style w:type="table" w:styleId="Grilledutableau">
    <w:name w:val="Table Grid"/>
    <w:basedOn w:val="TableauNormal"/>
    <w:uiPriority w:val="99"/>
    <w:rsid w:val="00C279B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20B77"/>
    <w:pPr>
      <w:spacing w:before="100" w:beforeAutospacing="1" w:after="100" w:afterAutospacing="1" w:line="240" w:lineRule="auto"/>
    </w:pPr>
    <w:rPr>
      <w:rFonts w:ascii="Times New Roman" w:hAnsi="Times New Roman" w:cs="Times New Roman"/>
      <w:kern w:val="0"/>
      <w:sz w:val="24"/>
      <w:szCs w:val="24"/>
      <w:lang w:eastAsia="fr-FR"/>
    </w:rPr>
  </w:style>
  <w:style w:type="character" w:customStyle="1" w:styleId="UnresolvedMention">
    <w:name w:val="Unresolved Mention"/>
    <w:basedOn w:val="Policepardfaut"/>
    <w:uiPriority w:val="99"/>
    <w:semiHidden/>
    <w:unhideWhenUsed/>
    <w:rsid w:val="00B60263"/>
    <w:rPr>
      <w:color w:val="605E5C"/>
      <w:shd w:val="clear" w:color="auto" w:fill="E1DFDD"/>
    </w:rPr>
  </w:style>
  <w:style w:type="character" w:customStyle="1" w:styleId="Titre3Car">
    <w:name w:val="Titre 3 Car"/>
    <w:basedOn w:val="Policepardfaut"/>
    <w:link w:val="Titre3"/>
    <w:uiPriority w:val="9"/>
    <w:rsid w:val="0001574E"/>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073470">
      <w:marLeft w:val="0"/>
      <w:marRight w:val="0"/>
      <w:marTop w:val="0"/>
      <w:marBottom w:val="0"/>
      <w:divBdr>
        <w:top w:val="none" w:sz="0" w:space="0" w:color="auto"/>
        <w:left w:val="none" w:sz="0" w:space="0" w:color="auto"/>
        <w:bottom w:val="none" w:sz="0" w:space="0" w:color="auto"/>
        <w:right w:val="none" w:sz="0" w:space="0" w:color="auto"/>
      </w:divBdr>
    </w:div>
    <w:div w:id="860632132">
      <w:bodyDiv w:val="1"/>
      <w:marLeft w:val="0"/>
      <w:marRight w:val="0"/>
      <w:marTop w:val="0"/>
      <w:marBottom w:val="0"/>
      <w:divBdr>
        <w:top w:val="none" w:sz="0" w:space="0" w:color="auto"/>
        <w:left w:val="none" w:sz="0" w:space="0" w:color="auto"/>
        <w:bottom w:val="none" w:sz="0" w:space="0" w:color="auto"/>
        <w:right w:val="none" w:sz="0" w:space="0" w:color="auto"/>
      </w:divBdr>
      <w:divsChild>
        <w:div w:id="500433838">
          <w:marLeft w:val="0"/>
          <w:marRight w:val="0"/>
          <w:marTop w:val="0"/>
          <w:marBottom w:val="0"/>
          <w:divBdr>
            <w:top w:val="none" w:sz="0" w:space="0" w:color="auto"/>
            <w:left w:val="none" w:sz="0" w:space="0" w:color="auto"/>
            <w:bottom w:val="none" w:sz="0" w:space="0" w:color="auto"/>
            <w:right w:val="none" w:sz="0" w:space="0" w:color="auto"/>
          </w:divBdr>
        </w:div>
      </w:divsChild>
    </w:div>
    <w:div w:id="107520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398</Words>
  <Characters>2190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JOURNEE INTERNATIONALE SCIENCES ET FEMMES</vt:lpstr>
    </vt:vector>
  </TitlesOfParts>
  <Company>Lycée André SABATIER</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JOURNEE INTERNATIONALE SCIENCES ET FEMMES</dc:title>
  <dc:subject/>
  <dc:creator>graat sakina et linda</dc:creator>
  <cp:keywords/>
  <dc:description/>
  <cp:lastModifiedBy>vl-hopital</cp:lastModifiedBy>
  <cp:revision>37</cp:revision>
  <cp:lastPrinted>2024-02-09T01:57:00Z</cp:lastPrinted>
  <dcterms:created xsi:type="dcterms:W3CDTF">2024-04-25T13:52:00Z</dcterms:created>
  <dcterms:modified xsi:type="dcterms:W3CDTF">2024-05-14T11:24:00Z</dcterms:modified>
</cp:coreProperties>
</file>