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6BF0" w14:textId="07BEEAAB" w:rsidR="65B1EE3E" w:rsidRDefault="00607BC9" w:rsidP="65B1EE3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CAPTEUR</w:t>
      </w:r>
      <w:r w:rsidR="000C7BDC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PIEZOELECTRIQUE - RADAR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DE RECUL </w:t>
      </w:r>
    </w:p>
    <w:p w14:paraId="291B7E8C" w14:textId="1358E5F9" w:rsidR="65B1EE3E" w:rsidRDefault="0B78650A" w:rsidP="65B1EE3E">
      <w:pPr>
        <w:rPr>
          <w:rFonts w:ascii="Calibri" w:eastAsia="Calibri" w:hAnsi="Calibri" w:cs="Calibri"/>
        </w:rPr>
      </w:pPr>
      <w:r w:rsidRPr="0B78650A">
        <w:rPr>
          <w:rFonts w:ascii="Calibri" w:eastAsia="Calibri" w:hAnsi="Calibri" w:cs="Calibri"/>
          <w:b/>
          <w:bCs/>
          <w:color w:val="0070C0"/>
        </w:rPr>
        <w:t xml:space="preserve">Niveau : </w:t>
      </w:r>
    </w:p>
    <w:p w14:paraId="08228202" w14:textId="77777777" w:rsidR="007F67CE" w:rsidRDefault="0B78650A" w:rsidP="00607BC9">
      <w:pPr>
        <w:rPr>
          <w:rFonts w:ascii="Calibri" w:eastAsia="Calibri" w:hAnsi="Calibri" w:cs="Calibri"/>
          <w:b/>
          <w:bCs/>
          <w:color w:val="0070C0"/>
        </w:rPr>
      </w:pPr>
      <w:r w:rsidRPr="0B78650A">
        <w:rPr>
          <w:rFonts w:ascii="Calibri" w:eastAsia="Calibri" w:hAnsi="Calibri" w:cs="Calibri"/>
        </w:rPr>
        <w:t>Seconde professionnelle</w:t>
      </w:r>
      <w:r w:rsidR="65B1EE3E">
        <w:br/>
      </w:r>
    </w:p>
    <w:p w14:paraId="3D89E6B6" w14:textId="2EE23A81" w:rsidR="00607BC9" w:rsidRPr="00607BC9" w:rsidRDefault="0B78650A" w:rsidP="00607BC9">
      <w:pPr>
        <w:rPr>
          <w:rFonts w:cstheme="minorHAnsi"/>
        </w:rPr>
      </w:pPr>
      <w:r w:rsidRPr="0B78650A">
        <w:rPr>
          <w:rFonts w:ascii="Calibri" w:eastAsia="Calibri" w:hAnsi="Calibri" w:cs="Calibri"/>
          <w:b/>
          <w:bCs/>
          <w:color w:val="0070C0"/>
        </w:rPr>
        <w:t>Capacités et connaissances :</w:t>
      </w:r>
      <w:r w:rsidR="00607BC9" w:rsidRPr="00607BC9">
        <w:rPr>
          <w:rFonts w:cstheme="minorHAnsi"/>
        </w:rPr>
        <w:t xml:space="preserve"> </w:t>
      </w:r>
    </w:p>
    <w:p w14:paraId="6E64A437" w14:textId="77777777" w:rsidR="00607BC9" w:rsidRPr="00607BC9" w:rsidRDefault="00607BC9" w:rsidP="00607BC9">
      <w:pPr>
        <w:rPr>
          <w:rFonts w:cstheme="minorHAnsi"/>
        </w:rPr>
      </w:pPr>
      <w:r w:rsidRPr="00607BC9">
        <w:rPr>
          <w:rFonts w:cstheme="minorHAnsi"/>
        </w:rPr>
        <w:t>Acoustique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578"/>
      </w:tblGrid>
      <w:tr w:rsidR="00607BC9" w:rsidRPr="00607BC9" w14:paraId="15F688C0" w14:textId="77777777" w:rsidTr="00607BC9">
        <w:trPr>
          <w:trHeight w:val="33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A583D73" w14:textId="77777777" w:rsidR="00607BC9" w:rsidRPr="00607BC9" w:rsidRDefault="00607BC9">
            <w:pPr>
              <w:jc w:val="center"/>
              <w:rPr>
                <w:rFonts w:cstheme="minorHAnsi"/>
                <w:b/>
              </w:rPr>
            </w:pPr>
            <w:r w:rsidRPr="00607BC9">
              <w:rPr>
                <w:rFonts w:cstheme="minorHAnsi"/>
                <w:b/>
              </w:rPr>
              <w:t>Capacités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63A4F06" w14:textId="77777777" w:rsidR="00607BC9" w:rsidRPr="00607BC9" w:rsidRDefault="00607BC9">
            <w:pPr>
              <w:jc w:val="center"/>
              <w:rPr>
                <w:rFonts w:cstheme="minorHAnsi"/>
                <w:b/>
              </w:rPr>
            </w:pPr>
            <w:r w:rsidRPr="00607BC9">
              <w:rPr>
                <w:rFonts w:cstheme="minorHAnsi"/>
                <w:b/>
              </w:rPr>
              <w:t>Connaissances</w:t>
            </w:r>
          </w:p>
        </w:tc>
      </w:tr>
      <w:tr w:rsidR="00607BC9" w:rsidRPr="00607BC9" w14:paraId="2539E781" w14:textId="77777777" w:rsidTr="00607BC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8117" w14:textId="7EA3DAD7" w:rsidR="00607BC9" w:rsidRPr="00607BC9" w:rsidRDefault="00607BC9" w:rsidP="00607BC9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Déterminer la période ou la fréquence d’un son pur.</w:t>
            </w:r>
          </w:p>
          <w:p w14:paraId="136B3D81" w14:textId="77777777" w:rsidR="00607BC9" w:rsidRPr="00607BC9" w:rsidRDefault="00607BC9" w:rsidP="00493790">
            <w:pPr>
              <w:jc w:val="both"/>
              <w:rPr>
                <w:rFonts w:cstheme="minorHAnsi"/>
              </w:rPr>
            </w:pPr>
            <w:r w:rsidRPr="00607BC9">
              <w:rPr>
                <w:rFonts w:cstheme="minorHAnsi"/>
              </w:rPr>
              <w:t>Caractériser un son par sa fréquence et son niveau d’intensité acoustique.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31CB" w14:textId="77777777" w:rsidR="00607BC9" w:rsidRPr="00607BC9" w:rsidRDefault="00607BC9" w:rsidP="00493790">
            <w:pPr>
              <w:jc w:val="both"/>
              <w:rPr>
                <w:rFonts w:cstheme="minorHAnsi"/>
              </w:rPr>
            </w:pPr>
            <w:r w:rsidRPr="00607BC9">
              <w:rPr>
                <w:rFonts w:cstheme="minorHAnsi"/>
              </w:rPr>
              <w:t>Savoir qu’un son se caractérise par sa fréquence et son niveau d’intensité exprimé en décibels.</w:t>
            </w:r>
          </w:p>
        </w:tc>
      </w:tr>
      <w:tr w:rsidR="00607BC9" w:rsidRPr="00607BC9" w14:paraId="600EA3F0" w14:textId="77777777" w:rsidTr="00607BC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0087" w14:textId="77777777" w:rsidR="00607BC9" w:rsidRPr="00607BC9" w:rsidRDefault="00607BC9" w:rsidP="00493790">
            <w:pPr>
              <w:jc w:val="both"/>
              <w:rPr>
                <w:rFonts w:cstheme="minorHAnsi"/>
              </w:rPr>
            </w:pPr>
            <w:r w:rsidRPr="00607BC9">
              <w:rPr>
                <w:rFonts w:cstheme="minorHAnsi"/>
              </w:rPr>
              <w:t>Comparer expérimentalement les atténuations phoniques des différents milieux traversés.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0B85" w14:textId="77777777" w:rsidR="00607BC9" w:rsidRPr="00607BC9" w:rsidRDefault="00607BC9" w:rsidP="00493790">
            <w:pPr>
              <w:jc w:val="both"/>
              <w:rPr>
                <w:rFonts w:cstheme="minorHAnsi"/>
              </w:rPr>
            </w:pPr>
            <w:r w:rsidRPr="00607BC9">
              <w:rPr>
                <w:rFonts w:cstheme="minorHAnsi"/>
              </w:rPr>
              <w:t>Savoir que les isolants phoniques sont des matériaux qui absorbent une grande partie de l’énergie véhiculée par les signaux sonores.</w:t>
            </w:r>
          </w:p>
        </w:tc>
      </w:tr>
      <w:tr w:rsidR="00607BC9" w:rsidRPr="00607BC9" w14:paraId="39EB2015" w14:textId="77777777" w:rsidTr="00607BC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17FD" w14:textId="77777777" w:rsidR="00607BC9" w:rsidRPr="00607BC9" w:rsidRDefault="00607BC9" w:rsidP="00493790">
            <w:pPr>
              <w:jc w:val="both"/>
              <w:rPr>
                <w:rFonts w:cstheme="minorHAnsi"/>
              </w:rPr>
            </w:pPr>
            <w:r w:rsidRPr="00607BC9">
              <w:rPr>
                <w:rFonts w:cstheme="minorHAnsi"/>
              </w:rPr>
              <w:t>Mettre en œuvre des émetteurs et capteurs piézoélectriques.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0AAC" w14:textId="77777777" w:rsidR="00607BC9" w:rsidRPr="00607BC9" w:rsidRDefault="00607BC9" w:rsidP="00607BC9">
            <w:pPr>
              <w:rPr>
                <w:rFonts w:cstheme="minorHAnsi"/>
              </w:rPr>
            </w:pPr>
          </w:p>
        </w:tc>
      </w:tr>
    </w:tbl>
    <w:p w14:paraId="0C3A96EE" w14:textId="77777777" w:rsidR="00607BC9" w:rsidRPr="00607BC9" w:rsidRDefault="00607BC9" w:rsidP="00607BC9">
      <w:pPr>
        <w:rPr>
          <w:rFonts w:cstheme="minorHAnsi"/>
        </w:rPr>
      </w:pPr>
    </w:p>
    <w:p w14:paraId="05C83D03" w14:textId="4C0B44BD" w:rsidR="00607BC9" w:rsidRPr="00607BC9" w:rsidRDefault="00607BC9" w:rsidP="00607BC9">
      <w:pPr>
        <w:rPr>
          <w:rFonts w:cstheme="minorHAnsi"/>
        </w:rPr>
      </w:pPr>
      <w:r>
        <w:rPr>
          <w:rFonts w:cstheme="minorHAnsi"/>
        </w:rPr>
        <w:t>Électricité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4616"/>
      </w:tblGrid>
      <w:tr w:rsidR="00607BC9" w:rsidRPr="00607BC9" w14:paraId="46FFBB92" w14:textId="77777777" w:rsidTr="00607BC9">
        <w:trPr>
          <w:trHeight w:val="321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5DF8E2" w14:textId="77777777" w:rsidR="00607BC9" w:rsidRPr="00607BC9" w:rsidRDefault="00607BC9">
            <w:pPr>
              <w:jc w:val="center"/>
              <w:rPr>
                <w:rFonts w:cstheme="minorHAnsi"/>
                <w:b/>
              </w:rPr>
            </w:pPr>
            <w:r w:rsidRPr="00607BC9">
              <w:rPr>
                <w:rFonts w:cstheme="minorHAnsi"/>
                <w:b/>
              </w:rPr>
              <w:t>Capacités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121C141" w14:textId="77777777" w:rsidR="00607BC9" w:rsidRPr="00607BC9" w:rsidRDefault="00607BC9">
            <w:pPr>
              <w:jc w:val="center"/>
              <w:rPr>
                <w:rFonts w:cstheme="minorHAnsi"/>
                <w:b/>
              </w:rPr>
            </w:pPr>
            <w:r w:rsidRPr="00607BC9">
              <w:rPr>
                <w:rFonts w:cstheme="minorHAnsi"/>
                <w:b/>
              </w:rPr>
              <w:t>Connaissances</w:t>
            </w:r>
          </w:p>
        </w:tc>
      </w:tr>
      <w:tr w:rsidR="00607BC9" w:rsidRPr="00607BC9" w14:paraId="686E3141" w14:textId="77777777" w:rsidTr="00493790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B86" w14:textId="77777777" w:rsidR="00607BC9" w:rsidRPr="00607BC9" w:rsidRDefault="00607BC9" w:rsidP="00493790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Lire et représenter un schéma électrique.</w:t>
            </w:r>
          </w:p>
          <w:p w14:paraId="63142520" w14:textId="77777777" w:rsidR="00607BC9" w:rsidRPr="00607BC9" w:rsidRDefault="00607BC9" w:rsidP="00493790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Réaliser un montage à partir d’un schéma</w:t>
            </w:r>
          </w:p>
          <w:p w14:paraId="59660882" w14:textId="77777777" w:rsidR="00607BC9" w:rsidRPr="00607BC9" w:rsidRDefault="00607BC9" w:rsidP="00493790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Mesurer la tension aux bornes d’un dipôle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63F" w14:textId="77777777" w:rsidR="00607BC9" w:rsidRPr="00607BC9" w:rsidRDefault="00607BC9" w:rsidP="00493790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Connaitre les appareils de mesure de l’intensité et de la tension.</w:t>
            </w:r>
          </w:p>
          <w:p w14:paraId="50BC71FF" w14:textId="549DA671" w:rsidR="00607BC9" w:rsidRPr="00607BC9" w:rsidRDefault="00607BC9" w:rsidP="00493790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Connaître les unités de mesures de l’intensité et de la tension</w:t>
            </w:r>
            <w:r w:rsidR="00493790">
              <w:rPr>
                <w:rFonts w:cstheme="minorHAnsi"/>
              </w:rPr>
              <w:t>.</w:t>
            </w:r>
          </w:p>
        </w:tc>
      </w:tr>
      <w:tr w:rsidR="00607BC9" w:rsidRPr="00607BC9" w14:paraId="519BD483" w14:textId="77777777" w:rsidTr="00607BC9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80D9" w14:textId="77777777" w:rsidR="00607BC9" w:rsidRPr="00607BC9" w:rsidRDefault="00607BC9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Identifier les grandeurs d’entrées et de sortie (avec leur unité) d’un capteur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6CC" w14:textId="77777777" w:rsidR="00607BC9" w:rsidRPr="00607BC9" w:rsidRDefault="00607BC9">
            <w:pPr>
              <w:rPr>
                <w:rFonts w:cstheme="minorHAnsi"/>
              </w:rPr>
            </w:pPr>
          </w:p>
        </w:tc>
      </w:tr>
      <w:tr w:rsidR="00607BC9" w:rsidRPr="00607BC9" w14:paraId="519A6AB4" w14:textId="77777777" w:rsidTr="00607BC9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EB6" w14:textId="77777777" w:rsidR="00607BC9" w:rsidRPr="00607BC9" w:rsidRDefault="00607BC9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Distinguer une tension continue d’une tension alternative.</w:t>
            </w:r>
          </w:p>
          <w:p w14:paraId="4C4F31F0" w14:textId="123CBA72" w:rsidR="00607BC9" w:rsidRPr="00607BC9" w:rsidRDefault="00493790">
            <w:pPr>
              <w:rPr>
                <w:rFonts w:cstheme="minorHAnsi"/>
              </w:rPr>
            </w:pPr>
            <w:r>
              <w:rPr>
                <w:rFonts w:cstheme="minorHAnsi"/>
              </w:rPr>
              <w:t>Reconnaî</w:t>
            </w:r>
            <w:r w:rsidR="00607BC9" w:rsidRPr="00607BC9">
              <w:rPr>
                <w:rFonts w:cstheme="minorHAnsi"/>
              </w:rPr>
              <w:t>tre une tension alternative périodique.</w:t>
            </w:r>
          </w:p>
          <w:p w14:paraId="296138C8" w14:textId="77777777" w:rsidR="00607BC9" w:rsidRPr="00607BC9" w:rsidRDefault="00607BC9" w:rsidP="00493790">
            <w:pPr>
              <w:ind w:right="158"/>
              <w:jc w:val="both"/>
              <w:rPr>
                <w:rFonts w:cstheme="minorHAnsi"/>
              </w:rPr>
            </w:pPr>
            <w:r w:rsidRPr="00607BC9">
              <w:rPr>
                <w:rFonts w:cstheme="minorHAnsi"/>
              </w:rPr>
              <w:t>Déterminer graphiquement la valeur maximale et la période d’une tension alternative sinusoïdale.</w:t>
            </w:r>
          </w:p>
          <w:p w14:paraId="5B2BF97F" w14:textId="77777777" w:rsidR="00607BC9" w:rsidRPr="00607BC9" w:rsidRDefault="00607BC9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Exploiter la relation entre la fréquence et la période.</w:t>
            </w:r>
          </w:p>
          <w:p w14:paraId="05D8D75D" w14:textId="77777777" w:rsidR="00607BC9" w:rsidRPr="00607BC9" w:rsidRDefault="00607BC9" w:rsidP="00493790">
            <w:pPr>
              <w:ind w:right="161"/>
              <w:jc w:val="both"/>
              <w:rPr>
                <w:rFonts w:cstheme="minorHAnsi"/>
              </w:rPr>
            </w:pPr>
            <w:r w:rsidRPr="00607BC9">
              <w:rPr>
                <w:rFonts w:cstheme="minorHAnsi"/>
              </w:rPr>
              <w:t>Décrire un signal périodique et donner les valeurs le caractérisant (valeur efficace et valeur maximale, période fréquence).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CE5E" w14:textId="77777777" w:rsidR="00607BC9" w:rsidRPr="00607BC9" w:rsidRDefault="00607BC9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Connaitre les grandeurs permettant de décrire une tension sinusoïdale monophasée ainsi que leur unité (valeur maximale, valeur efficace, période, fréquence)</w:t>
            </w:r>
          </w:p>
          <w:p w14:paraId="46379A55" w14:textId="77777777" w:rsidR="00607BC9" w:rsidRPr="00607BC9" w:rsidRDefault="00607BC9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Connaître la relation entre la fréquence et la période.</w:t>
            </w:r>
          </w:p>
          <w:p w14:paraId="54F4E24C" w14:textId="77777777" w:rsidR="00607BC9" w:rsidRPr="00607BC9" w:rsidRDefault="00607BC9">
            <w:pPr>
              <w:rPr>
                <w:rFonts w:cstheme="minorHAnsi"/>
              </w:rPr>
            </w:pPr>
            <w:r w:rsidRPr="00607BC9">
              <w:rPr>
                <w:rFonts w:cstheme="minorHAnsi"/>
              </w:rPr>
              <w:t>Pour le signal sinusoïdal, connaitre la relation entre la valeur efficace et la valeur maximale.</w:t>
            </w:r>
          </w:p>
        </w:tc>
      </w:tr>
    </w:tbl>
    <w:p w14:paraId="5E49EA71" w14:textId="77777777" w:rsidR="00607BC9" w:rsidRDefault="00607BC9" w:rsidP="65B1EE3E">
      <w:pPr>
        <w:rPr>
          <w:rFonts w:ascii="Calibri" w:eastAsia="Calibri" w:hAnsi="Calibri" w:cs="Calibri"/>
          <w:b/>
          <w:bCs/>
          <w:color w:val="0070C0"/>
        </w:rPr>
      </w:pPr>
    </w:p>
    <w:p w14:paraId="01D02136" w14:textId="54AC6FFB" w:rsidR="65B1EE3E" w:rsidRDefault="0B78650A" w:rsidP="65B1EE3E">
      <w:pPr>
        <w:rPr>
          <w:rFonts w:ascii="Calibri" w:eastAsia="Calibri" w:hAnsi="Calibri" w:cs="Calibri"/>
        </w:rPr>
      </w:pPr>
      <w:r w:rsidRPr="0B78650A">
        <w:rPr>
          <w:rFonts w:ascii="Calibri" w:eastAsia="Calibri" w:hAnsi="Calibri" w:cs="Calibri"/>
          <w:b/>
          <w:bCs/>
          <w:color w:val="0070C0"/>
        </w:rPr>
        <w:t xml:space="preserve">Liens avec le cycle 4 : </w:t>
      </w:r>
    </w:p>
    <w:p w14:paraId="3E9EF4A1" w14:textId="6E292BBE" w:rsidR="00607BC9" w:rsidRPr="00607BC9" w:rsidRDefault="00607BC9" w:rsidP="001443D0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 xml:space="preserve">En </w:t>
      </w:r>
      <w:r w:rsidRPr="00607BC9">
        <w:rPr>
          <w:rFonts w:cstheme="minorHAnsi"/>
        </w:rPr>
        <w:t xml:space="preserve"> mathématiques :</w:t>
      </w:r>
    </w:p>
    <w:p w14:paraId="05C0EC40" w14:textId="77777777" w:rsidR="00607BC9" w:rsidRPr="00607BC9" w:rsidRDefault="00607BC9" w:rsidP="00607BC9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607BC9">
        <w:rPr>
          <w:rFonts w:cstheme="minorHAnsi"/>
        </w:rPr>
        <w:t>Utilisation et transformation de formules ;</w:t>
      </w:r>
    </w:p>
    <w:p w14:paraId="55341543" w14:textId="77777777" w:rsidR="00607BC9" w:rsidRPr="00607BC9" w:rsidRDefault="00607BC9" w:rsidP="00607BC9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607BC9">
        <w:rPr>
          <w:rFonts w:cstheme="minorHAnsi"/>
        </w:rPr>
        <w:t>Identification d’une situation proportionnelle ;</w:t>
      </w:r>
    </w:p>
    <w:p w14:paraId="4A208627" w14:textId="77777777" w:rsidR="00607BC9" w:rsidRPr="00493790" w:rsidRDefault="00607BC9" w:rsidP="001443D0">
      <w:pPr>
        <w:spacing w:after="0"/>
        <w:rPr>
          <w:rFonts w:cstheme="minorHAnsi"/>
          <w:sz w:val="18"/>
        </w:rPr>
      </w:pPr>
    </w:p>
    <w:p w14:paraId="5CC765B3" w14:textId="482C407A" w:rsidR="00607BC9" w:rsidRPr="00607BC9" w:rsidRDefault="00607BC9" w:rsidP="001443D0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En physique-chimie</w:t>
      </w:r>
    </w:p>
    <w:p w14:paraId="2EB642B8" w14:textId="77777777" w:rsidR="00607BC9" w:rsidRDefault="00607BC9" w:rsidP="00607BC9">
      <w:pPr>
        <w:pStyle w:val="Paragraphedeliste"/>
        <w:numPr>
          <w:ilvl w:val="0"/>
          <w:numId w:val="3"/>
        </w:numPr>
        <w:rPr>
          <w:rFonts w:cstheme="minorHAnsi"/>
        </w:rPr>
      </w:pPr>
      <w:r w:rsidRPr="00607BC9">
        <w:rPr>
          <w:rFonts w:cstheme="minorHAnsi"/>
        </w:rPr>
        <w:t>Vitesse de propagation</w:t>
      </w:r>
    </w:p>
    <w:p w14:paraId="48A5D822" w14:textId="212A48B7" w:rsidR="00607BC9" w:rsidRPr="00607BC9" w:rsidRDefault="00607BC9" w:rsidP="00607BC9">
      <w:pPr>
        <w:pStyle w:val="Paragraphedeliste"/>
        <w:numPr>
          <w:ilvl w:val="0"/>
          <w:numId w:val="3"/>
        </w:numPr>
        <w:rPr>
          <w:rFonts w:cstheme="minorHAnsi"/>
        </w:rPr>
      </w:pPr>
      <w:r w:rsidRPr="00607BC9">
        <w:rPr>
          <w:rFonts w:cstheme="minorHAnsi"/>
        </w:rPr>
        <w:t>Notion de fréquence : sons audible, infrasons, ultrasons</w:t>
      </w:r>
    </w:p>
    <w:p w14:paraId="54524B44" w14:textId="77777777" w:rsidR="007F67CE" w:rsidRDefault="007F67CE">
      <w:pPr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  <w:color w:val="0070C0"/>
        </w:rPr>
        <w:br w:type="page"/>
      </w:r>
    </w:p>
    <w:p w14:paraId="4B6B393F" w14:textId="37EB2E0C" w:rsidR="65B1EE3E" w:rsidRDefault="00607BC9" w:rsidP="65B1EE3E">
      <w:pPr>
        <w:rPr>
          <w:rFonts w:ascii="Calibri" w:eastAsia="Calibri" w:hAnsi="Calibri" w:cs="Calibri"/>
        </w:rPr>
      </w:pPr>
      <w:r w:rsidRPr="0B78650A">
        <w:rPr>
          <w:rFonts w:ascii="Calibri" w:eastAsia="Calibri" w:hAnsi="Calibri" w:cs="Calibri"/>
          <w:b/>
          <w:bCs/>
          <w:color w:val="0070C0"/>
        </w:rPr>
        <w:lastRenderedPageBreak/>
        <w:t>Énoncé</w:t>
      </w:r>
      <w:r w:rsidR="0B78650A" w:rsidRPr="0B78650A">
        <w:rPr>
          <w:rFonts w:ascii="Calibri" w:eastAsia="Calibri" w:hAnsi="Calibri" w:cs="Calibri"/>
          <w:b/>
          <w:bCs/>
          <w:color w:val="0070C0"/>
        </w:rPr>
        <w:t xml:space="preserve"> de la situation problème : </w:t>
      </w:r>
    </w:p>
    <w:p w14:paraId="2F054607" w14:textId="77777777" w:rsidR="00607BC9" w:rsidRDefault="00607BC9" w:rsidP="00607BC9">
      <w:pPr>
        <w:jc w:val="both"/>
        <w:rPr>
          <w:rFonts w:cstheme="minorHAnsi"/>
        </w:rPr>
      </w:pPr>
      <w:r w:rsidRPr="00607BC9">
        <w:rPr>
          <w:rFonts w:cstheme="minorHAnsi"/>
        </w:rPr>
        <w:t>Le systèm</w:t>
      </w:r>
      <w:r>
        <w:rPr>
          <w:rFonts w:cstheme="minorHAnsi"/>
        </w:rPr>
        <w:t>e</w:t>
      </w:r>
      <w:r w:rsidRPr="00607BC9">
        <w:rPr>
          <w:rFonts w:cstheme="minorHAnsi"/>
        </w:rPr>
        <w:t xml:space="preserve"> de radar de recul équipant les modèles de véhicule</w:t>
      </w:r>
      <w:r>
        <w:rPr>
          <w:rFonts w:cstheme="minorHAnsi"/>
        </w:rPr>
        <w:t>s</w:t>
      </w:r>
      <w:r w:rsidRPr="00607BC9">
        <w:rPr>
          <w:rFonts w:cstheme="minorHAnsi"/>
        </w:rPr>
        <w:t xml:space="preserve"> récent</w:t>
      </w:r>
      <w:r>
        <w:rPr>
          <w:rFonts w:cstheme="minorHAnsi"/>
        </w:rPr>
        <w:t>s</w:t>
      </w:r>
      <w:r w:rsidRPr="00607BC9">
        <w:rPr>
          <w:rFonts w:cstheme="minorHAnsi"/>
        </w:rPr>
        <w:t xml:space="preserve"> émettent un ou plusieurs bips lorsqu’un véhicule se rapproche d’un obstacle lors du stationnement ou de manœuvre</w:t>
      </w:r>
      <w:r>
        <w:rPr>
          <w:rFonts w:cstheme="minorHAnsi"/>
        </w:rPr>
        <w:t>s</w:t>
      </w:r>
      <w:r w:rsidRPr="00607BC9">
        <w:rPr>
          <w:rFonts w:cstheme="minorHAnsi"/>
        </w:rPr>
        <w:t xml:space="preserve">. </w:t>
      </w:r>
    </w:p>
    <w:p w14:paraId="6780F251" w14:textId="73389296" w:rsidR="00607BC9" w:rsidRPr="00607BC9" w:rsidRDefault="00607BC9" w:rsidP="00607BC9">
      <w:pPr>
        <w:jc w:val="both"/>
        <w:rPr>
          <w:rFonts w:cstheme="minorHAnsi"/>
        </w:rPr>
      </w:pPr>
      <w:r w:rsidRPr="00607BC9">
        <w:rPr>
          <w:rFonts w:cstheme="minorHAnsi"/>
        </w:rPr>
        <w:t xml:space="preserve">Dans </w:t>
      </w:r>
      <w:r>
        <w:rPr>
          <w:rFonts w:cstheme="minorHAnsi"/>
        </w:rPr>
        <w:t xml:space="preserve">mon véhicule, </w:t>
      </w:r>
      <w:r w:rsidR="00737285">
        <w:rPr>
          <w:rFonts w:cstheme="minorHAnsi"/>
        </w:rPr>
        <w:t>lorsque j’enclenche</w:t>
      </w:r>
      <w:r w:rsidRPr="00607BC9">
        <w:rPr>
          <w:rFonts w:cstheme="minorHAnsi"/>
        </w:rPr>
        <w:t xml:space="preserve"> la marche arrière, le bip </w:t>
      </w:r>
      <w:r>
        <w:rPr>
          <w:rFonts w:cstheme="minorHAnsi"/>
        </w:rPr>
        <w:t>du</w:t>
      </w:r>
      <w:r w:rsidRPr="00607BC9">
        <w:rPr>
          <w:rFonts w:cstheme="minorHAnsi"/>
        </w:rPr>
        <w:t xml:space="preserve"> radar de recul se déclenche en continu.</w:t>
      </w:r>
      <w:r>
        <w:rPr>
          <w:rFonts w:cstheme="minorHAnsi"/>
        </w:rPr>
        <w:t xml:space="preserve"> </w:t>
      </w:r>
      <w:r w:rsidRPr="00607BC9">
        <w:rPr>
          <w:rFonts w:cstheme="minorHAnsi"/>
        </w:rPr>
        <w:t>Le fonctionnement de mon radar de recul est-il normal?</w:t>
      </w:r>
    </w:p>
    <w:p w14:paraId="364E8DBC" w14:textId="77777777" w:rsidR="007F67CE" w:rsidRDefault="007F67CE" w:rsidP="007F67CE">
      <w:pPr>
        <w:jc w:val="center"/>
        <w:rPr>
          <w:rFonts w:ascii="Calibri" w:eastAsia="Calibri" w:hAnsi="Calibri" w:cs="Calibri"/>
          <w:b/>
          <w:bCs/>
          <w:color w:val="0070C0"/>
        </w:rPr>
      </w:pPr>
      <w:r>
        <w:rPr>
          <w:noProof/>
          <w:lang w:eastAsia="fr-FR"/>
        </w:rPr>
        <w:drawing>
          <wp:inline distT="0" distB="0" distL="0" distR="0" wp14:anchorId="40A8A9FA" wp14:editId="4CFACE05">
            <wp:extent cx="5314950" cy="2533650"/>
            <wp:effectExtent l="0" t="0" r="0" b="0"/>
            <wp:docPr id="2" name="Image 2" descr="C:\Users\Home\AppData\Local\Microsoft\Windows\INetCache\Content.Word\vo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INetCache\Content.Word\voi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5F13" w14:textId="77777777" w:rsidR="007F67CE" w:rsidRDefault="007F67CE" w:rsidP="007F67CE">
      <w:pPr>
        <w:rPr>
          <w:rFonts w:ascii="Calibri" w:eastAsia="Calibri" w:hAnsi="Calibri" w:cs="Calibri"/>
          <w:b/>
          <w:bCs/>
          <w:color w:val="0070C0"/>
        </w:rPr>
      </w:pPr>
    </w:p>
    <w:p w14:paraId="411F6C08" w14:textId="64F92F81" w:rsidR="65B1EE3E" w:rsidRDefault="0B78650A" w:rsidP="007F67CE">
      <w:pPr>
        <w:rPr>
          <w:rFonts w:ascii="Calibri" w:eastAsia="Calibri" w:hAnsi="Calibri" w:cs="Calibri"/>
        </w:rPr>
      </w:pPr>
      <w:r w:rsidRPr="0B78650A">
        <w:rPr>
          <w:rFonts w:ascii="Calibri" w:eastAsia="Calibri" w:hAnsi="Calibri" w:cs="Calibri"/>
          <w:b/>
          <w:bCs/>
          <w:color w:val="0070C0"/>
        </w:rPr>
        <w:t>Ressource pour l'élève :</w:t>
      </w:r>
    </w:p>
    <w:p w14:paraId="08A30BF8" w14:textId="29685E20" w:rsidR="0010179F" w:rsidRDefault="0010179F" w:rsidP="0010179F">
      <w:pPr>
        <w:jc w:val="both"/>
      </w:pPr>
      <w:r>
        <w:t>Tout document comportant les documents techniques et  d’autres qui poussent l’élève à la réflexion et/ou à la recherche d’informations sur un support que l’élève pourra conserver.</w:t>
      </w:r>
    </w:p>
    <w:p w14:paraId="7ECB88C8" w14:textId="23EFAADF" w:rsidR="65B1EE3E" w:rsidRDefault="65B1EE3E" w:rsidP="0010179F">
      <w:pPr>
        <w:jc w:val="both"/>
        <w:rPr>
          <w:rFonts w:ascii="Calibri" w:eastAsia="Calibri" w:hAnsi="Calibri" w:cs="Calibri"/>
        </w:rPr>
      </w:pPr>
    </w:p>
    <w:p w14:paraId="77C751CE" w14:textId="15A234F6" w:rsidR="65B1EE3E" w:rsidRDefault="0B78650A" w:rsidP="0B78650A">
      <w:pPr>
        <w:rPr>
          <w:rFonts w:ascii="Calibri" w:eastAsia="Calibri" w:hAnsi="Calibri" w:cs="Calibri"/>
        </w:rPr>
      </w:pPr>
      <w:r w:rsidRPr="0B78650A">
        <w:rPr>
          <w:rFonts w:ascii="Calibri" w:eastAsia="Calibri" w:hAnsi="Calibri" w:cs="Calibri"/>
          <w:b/>
          <w:bCs/>
          <w:color w:val="0070C0"/>
        </w:rPr>
        <w:t xml:space="preserve">Élément pour le professeur </w:t>
      </w:r>
      <w:r w:rsidRPr="0B78650A">
        <w:rPr>
          <w:rFonts w:ascii="Calibri" w:eastAsia="Calibri" w:hAnsi="Calibri" w:cs="Calibri"/>
          <w:b/>
          <w:bCs/>
        </w:rPr>
        <w:t xml:space="preserve">: </w:t>
      </w:r>
      <w:r w:rsidRPr="0B78650A">
        <w:rPr>
          <w:rFonts w:ascii="Calibri" w:eastAsia="Calibri" w:hAnsi="Calibri" w:cs="Calibri"/>
        </w:rPr>
        <w:t xml:space="preserve"> </w:t>
      </w:r>
    </w:p>
    <w:p w14:paraId="06B24AA0" w14:textId="403B2124" w:rsidR="0B78650A" w:rsidRPr="00607BC9" w:rsidRDefault="0B78650A" w:rsidP="0B78650A">
      <w:pPr>
        <w:pStyle w:val="Paragraphedeliste"/>
        <w:numPr>
          <w:ilvl w:val="0"/>
          <w:numId w:val="1"/>
        </w:numPr>
      </w:pPr>
      <w:r w:rsidRPr="0B78650A">
        <w:rPr>
          <w:rFonts w:ascii="Calibri" w:eastAsia="Calibri" w:hAnsi="Calibri" w:cs="Calibri"/>
        </w:rPr>
        <w:t>Intentions du professeur</w:t>
      </w:r>
    </w:p>
    <w:p w14:paraId="214B8DBF" w14:textId="77777777" w:rsidR="001B380D" w:rsidRPr="00607BC9" w:rsidRDefault="001B380D" w:rsidP="001B380D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607BC9">
        <w:rPr>
          <w:rFonts w:cstheme="minorHAnsi"/>
        </w:rPr>
        <w:t>Étudier un dispositif utilisant un capteur piézoélectrique :</w:t>
      </w:r>
      <w:r>
        <w:rPr>
          <w:rFonts w:cstheme="minorHAnsi"/>
        </w:rPr>
        <w:t xml:space="preserve"> le</w:t>
      </w:r>
      <w:r w:rsidRPr="00607BC9">
        <w:rPr>
          <w:rFonts w:cstheme="minorHAnsi"/>
        </w:rPr>
        <w:t xml:space="preserve"> radar de recul</w:t>
      </w:r>
    </w:p>
    <w:p w14:paraId="20EE5B12" w14:textId="77777777" w:rsidR="00607BC9" w:rsidRPr="00607BC9" w:rsidRDefault="00607BC9" w:rsidP="00607BC9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607BC9">
        <w:rPr>
          <w:rFonts w:cstheme="minorHAnsi"/>
        </w:rPr>
        <w:t>Étudier le comportement d’un capteur piézoélectrique</w:t>
      </w:r>
    </w:p>
    <w:p w14:paraId="29F7F339" w14:textId="77777777" w:rsidR="001B380D" w:rsidRDefault="001B380D" w:rsidP="001C34C1">
      <w:pPr>
        <w:jc w:val="both"/>
      </w:pPr>
    </w:p>
    <w:p w14:paraId="3A82C856" w14:textId="306D8177" w:rsidR="001C34C1" w:rsidRDefault="00813581" w:rsidP="001C34C1">
      <w:pPr>
        <w:jc w:val="both"/>
      </w:pPr>
      <w:bookmarkStart w:id="0" w:name="_GoBack"/>
      <w:bookmarkEnd w:id="0"/>
      <w:r>
        <w:t xml:space="preserve">Cette activité est à </w:t>
      </w:r>
      <w:r w:rsidR="001C34C1">
        <w:t>l’origine à</w:t>
      </w:r>
      <w:r w:rsidR="000C0564">
        <w:t xml:space="preserve"> </w:t>
      </w:r>
      <w:r>
        <w:t xml:space="preserve">destination des élèves de seconde professionnelle </w:t>
      </w:r>
      <w:r w:rsidR="00BF0C7A">
        <w:t>M</w:t>
      </w:r>
      <w:r>
        <w:t xml:space="preserve">étiers de </w:t>
      </w:r>
      <w:r w:rsidR="00BF0C7A">
        <w:t>l’E</w:t>
      </w:r>
      <w:r>
        <w:t xml:space="preserve">lectricité. </w:t>
      </w:r>
      <w:r w:rsidR="00A45849">
        <w:t>Dans cette</w:t>
      </w:r>
      <w:r>
        <w:t xml:space="preserve"> </w:t>
      </w:r>
      <w:r w:rsidR="00A45849">
        <w:t xml:space="preserve">activité il </w:t>
      </w:r>
      <w:r w:rsidR="005904A4">
        <w:t>s’</w:t>
      </w:r>
      <w:r w:rsidR="00A45849">
        <w:t>agit</w:t>
      </w:r>
      <w:r>
        <w:t xml:space="preserve"> de réaliser une partie du module tra</w:t>
      </w:r>
      <w:r w:rsidR="001C34C1">
        <w:t>ns</w:t>
      </w:r>
      <w:r>
        <w:t>versal d’</w:t>
      </w:r>
      <w:r w:rsidR="001C34C1">
        <w:t>électricité</w:t>
      </w:r>
      <w:r>
        <w:t xml:space="preserve"> au travers d’un temps de pratique expérimentale dans le champ de l’acou</w:t>
      </w:r>
      <w:r w:rsidR="001C34C1">
        <w:t>s</w:t>
      </w:r>
      <w:r>
        <w:t xml:space="preserve">tique. La situation issue de l’automobile lie la vie </w:t>
      </w:r>
      <w:r w:rsidR="001C34C1">
        <w:t>quotidienne</w:t>
      </w:r>
      <w:r w:rsidR="000C0564">
        <w:t xml:space="preserve"> et </w:t>
      </w:r>
      <w:r>
        <w:t xml:space="preserve">intérêt des élèves  pour </w:t>
      </w:r>
      <w:r w:rsidR="001C34C1">
        <w:t>le domaine automobile.</w:t>
      </w:r>
      <w:r w:rsidR="005904A4">
        <w:t xml:space="preserve"> </w:t>
      </w:r>
    </w:p>
    <w:p w14:paraId="0E8884EA" w14:textId="1413E852" w:rsidR="001C34C1" w:rsidRDefault="00813581" w:rsidP="001C34C1">
      <w:pPr>
        <w:pStyle w:val="Sansinterligne"/>
        <w:jc w:val="both"/>
      </w:pPr>
      <w:r>
        <w:t>Le radar de recul u</w:t>
      </w:r>
      <w:r w:rsidR="000C0564">
        <w:t xml:space="preserve">tilise </w:t>
      </w:r>
      <w:r w:rsidR="001C34C1">
        <w:t>le principe piézoélectrique</w:t>
      </w:r>
      <w:r>
        <w:t xml:space="preserve"> </w:t>
      </w:r>
      <w:r w:rsidR="001C34C1">
        <w:t xml:space="preserve">en émission et en réception. </w:t>
      </w:r>
      <w:r w:rsidR="002929DA">
        <w:t>Un</w:t>
      </w:r>
      <w:r w:rsidR="001C34C1">
        <w:t xml:space="preserve"> travail préparatoire </w:t>
      </w:r>
      <w:r w:rsidR="002929DA">
        <w:t>permettra</w:t>
      </w:r>
      <w:r w:rsidR="001C34C1">
        <w:t xml:space="preserve"> de faire réfléchir les élèves sur le fonctionnement du capteur et </w:t>
      </w:r>
      <w:r w:rsidR="000C0564">
        <w:t xml:space="preserve">sur </w:t>
      </w:r>
      <w:r w:rsidR="001C34C1">
        <w:t>la nature du principe de détection.</w:t>
      </w:r>
    </w:p>
    <w:p w14:paraId="5AFCAAF7" w14:textId="6CEBD1D1" w:rsidR="001C34C1" w:rsidRDefault="00123794" w:rsidP="001C34C1">
      <w:pPr>
        <w:jc w:val="both"/>
      </w:pPr>
      <w:r>
        <w:t>Deux</w:t>
      </w:r>
      <w:r w:rsidR="001C34C1">
        <w:t xml:space="preserve"> propositions</w:t>
      </w:r>
      <w:r>
        <w:t xml:space="preserve"> pour amener les élèves à appréhender </w:t>
      </w:r>
      <w:r w:rsidR="00512CAC">
        <w:t>le</w:t>
      </w:r>
      <w:r w:rsidR="00751AC5">
        <w:t xml:space="preserve"> </w:t>
      </w:r>
      <w:r>
        <w:t>fonctionnement du capteur piézoélectrique</w:t>
      </w:r>
      <w:r w:rsidR="00512CAC">
        <w:t xml:space="preserve"> grâce</w:t>
      </w:r>
      <w:r w:rsidR="00751AC5">
        <w:t xml:space="preserve"> </w:t>
      </w:r>
      <w:r w:rsidR="00512CAC">
        <w:t>au module électricité</w:t>
      </w:r>
      <w:r w:rsidR="001C34C1">
        <w:t> :</w:t>
      </w:r>
    </w:p>
    <w:p w14:paraId="5887426A" w14:textId="458FD4BF" w:rsidR="001C34C1" w:rsidRDefault="001C34C1" w:rsidP="001C34C1">
      <w:pPr>
        <w:pStyle w:val="Paragraphedeliste"/>
        <w:numPr>
          <w:ilvl w:val="0"/>
          <w:numId w:val="2"/>
        </w:numPr>
        <w:ind w:left="567" w:hanging="567"/>
        <w:jc w:val="both"/>
      </w:pPr>
      <w:r>
        <w:t xml:space="preserve">une mesure de l’amplitude du signal initial et celui du signal reçu après </w:t>
      </w:r>
      <w:r w:rsidR="00512CAC">
        <w:t>réflexion</w:t>
      </w:r>
      <w:r>
        <w:t xml:space="preserve"> sur l’obstacle</w:t>
      </w:r>
    </w:p>
    <w:p w14:paraId="7B9F4A35" w14:textId="77777777" w:rsidR="000C0564" w:rsidRDefault="001C34C1" w:rsidP="001C34C1">
      <w:pPr>
        <w:pStyle w:val="Paragraphedeliste"/>
        <w:numPr>
          <w:ilvl w:val="0"/>
          <w:numId w:val="2"/>
        </w:numPr>
        <w:ind w:left="567" w:hanging="567"/>
        <w:jc w:val="both"/>
      </w:pPr>
      <w:r>
        <w:t>une mesure du temps de parcours du signal entre l’émission et la réception après réflexion sur l’obstacle.</w:t>
      </w:r>
    </w:p>
    <w:p w14:paraId="72F2C6B8" w14:textId="77777777" w:rsidR="000C0564" w:rsidRDefault="000C0564" w:rsidP="000C0564">
      <w:pPr>
        <w:pStyle w:val="Paragraphedeliste"/>
        <w:ind w:left="567"/>
        <w:jc w:val="both"/>
      </w:pPr>
    </w:p>
    <w:p w14:paraId="33765DC0" w14:textId="4E839BAC" w:rsidR="001B380D" w:rsidRDefault="000C0564" w:rsidP="001B380D">
      <w:pPr>
        <w:pStyle w:val="Paragraphedeliste"/>
        <w:ind w:left="0"/>
        <w:jc w:val="both"/>
      </w:pPr>
      <w:r>
        <w:t>L’expérimentation de la première mettra en évidence, du fait notamment des interférences, que l’amplitude</w:t>
      </w:r>
      <w:r w:rsidR="001B380D">
        <w:t xml:space="preserve"> du signal </w:t>
      </w:r>
      <w:proofErr w:type="spellStart"/>
      <w:r w:rsidR="001B380D">
        <w:t>recu</w:t>
      </w:r>
      <w:proofErr w:type="spellEnd"/>
      <w:r w:rsidR="001B380D">
        <w:t xml:space="preserve"> </w:t>
      </w:r>
      <w:r>
        <w:t xml:space="preserve"> ne pourra</w:t>
      </w:r>
      <w:r w:rsidR="001B380D">
        <w:t xml:space="preserve"> pas</w:t>
      </w:r>
      <w:r>
        <w:t xml:space="preserve"> être </w:t>
      </w:r>
      <w:r w:rsidR="001B380D">
        <w:t xml:space="preserve">la grandeur </w:t>
      </w:r>
      <w:r>
        <w:t>utilisée pour détecter l’obstacle. La seconde, elle, le permettra et l’exploitation de cette mesure sera alors une information sur la distance.</w:t>
      </w:r>
    </w:p>
    <w:p w14:paraId="504CAA61" w14:textId="77777777" w:rsidR="001B380D" w:rsidRDefault="001B380D" w:rsidP="001B380D">
      <w:pPr>
        <w:pStyle w:val="Paragraphedeliste"/>
        <w:ind w:left="0"/>
        <w:jc w:val="both"/>
      </w:pPr>
    </w:p>
    <w:p w14:paraId="2621014C" w14:textId="5EF74CDD" w:rsidR="0B78650A" w:rsidRDefault="0B78650A" w:rsidP="001B380D">
      <w:pPr>
        <w:pStyle w:val="Paragraphedeliste"/>
        <w:ind w:left="0"/>
        <w:jc w:val="both"/>
        <w:rPr>
          <w:rFonts w:ascii="Calibri" w:eastAsia="Calibri" w:hAnsi="Calibri" w:cs="Calibri"/>
        </w:rPr>
      </w:pPr>
      <w:r w:rsidRPr="001B380D">
        <w:rPr>
          <w:rFonts w:ascii="Calibri" w:eastAsia="Calibri" w:hAnsi="Calibri" w:cs="Calibri"/>
        </w:rPr>
        <w:t>Documents techniques</w:t>
      </w:r>
    </w:p>
    <w:p w14:paraId="7EE15386" w14:textId="77777777" w:rsidR="001B380D" w:rsidRPr="00607BC9" w:rsidRDefault="001B380D" w:rsidP="001B380D">
      <w:pPr>
        <w:pStyle w:val="Paragraphedeliste"/>
        <w:ind w:left="0"/>
        <w:jc w:val="both"/>
      </w:pPr>
    </w:p>
    <w:p w14:paraId="772007D0" w14:textId="4036547D" w:rsidR="00607BC9" w:rsidRPr="001443D0" w:rsidRDefault="00607BC9" w:rsidP="001B380D">
      <w:pPr>
        <w:pStyle w:val="Paragraphedeliste"/>
        <w:numPr>
          <w:ilvl w:val="0"/>
          <w:numId w:val="2"/>
        </w:numPr>
        <w:ind w:left="426"/>
      </w:pPr>
      <w:r>
        <w:rPr>
          <w:rFonts w:ascii="Calibri" w:eastAsia="Calibri" w:hAnsi="Calibri" w:cs="Calibri"/>
        </w:rPr>
        <w:t xml:space="preserve">Schéma des zones </w:t>
      </w:r>
      <w:r w:rsidR="001443D0">
        <w:rPr>
          <w:rFonts w:ascii="Calibri" w:eastAsia="Calibri" w:hAnsi="Calibri" w:cs="Calibri"/>
        </w:rPr>
        <w:t>couvertes par les différents capteurs arrière du véhicule</w:t>
      </w:r>
    </w:p>
    <w:p w14:paraId="7F5418DF" w14:textId="5C4DBC9F" w:rsidR="001443D0" w:rsidRDefault="001443D0" w:rsidP="001443D0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 wp14:anchorId="2D49F7F4" wp14:editId="64E9E386">
            <wp:extent cx="4926931" cy="296227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22"/>
                    <a:stretch/>
                  </pic:blipFill>
                  <pic:spPr bwMode="auto">
                    <a:xfrm>
                      <a:off x="0" y="0"/>
                      <a:ext cx="4938941" cy="296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CE5F3" w14:textId="77777777" w:rsidR="001B380D" w:rsidRDefault="001B380D" w:rsidP="001B380D">
      <w:pPr>
        <w:pStyle w:val="Paragraphedeliste"/>
        <w:ind w:left="426"/>
      </w:pPr>
    </w:p>
    <w:p w14:paraId="4B333B9E" w14:textId="64E739A3" w:rsidR="001443D0" w:rsidRDefault="001443D0" w:rsidP="001B380D">
      <w:pPr>
        <w:pStyle w:val="Paragraphedeliste"/>
        <w:numPr>
          <w:ilvl w:val="0"/>
          <w:numId w:val="2"/>
        </w:numPr>
        <w:ind w:left="426"/>
      </w:pPr>
      <w:r w:rsidRPr="001443D0">
        <w:t>S</w:t>
      </w:r>
      <w:r>
        <w:t>chéma</w:t>
      </w:r>
      <w:r w:rsidRPr="001443D0">
        <w:t xml:space="preserve"> électrique</w:t>
      </w:r>
    </w:p>
    <w:p w14:paraId="557539DE" w14:textId="09621358" w:rsidR="0010179F" w:rsidRDefault="0010179F" w:rsidP="0010179F">
      <w:pPr>
        <w:pStyle w:val="Paragraphedeliste"/>
        <w:ind w:left="144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29"/>
        <w:gridCol w:w="4387"/>
      </w:tblGrid>
      <w:tr w:rsidR="001443D0" w14:paraId="37A2CFFB" w14:textId="77777777" w:rsidTr="0010179F">
        <w:trPr>
          <w:trHeight w:val="53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5842" w14:textId="77777777" w:rsidR="001443D0" w:rsidRPr="001443D0" w:rsidRDefault="001443D0">
            <w:pPr>
              <w:pStyle w:val="Paragraphedeliste"/>
              <w:ind w:left="0"/>
              <w:jc w:val="center"/>
              <w:rPr>
                <w:rFonts w:cstheme="minorHAnsi"/>
                <w:szCs w:val="24"/>
              </w:rPr>
            </w:pPr>
            <w:r w:rsidRPr="001443D0">
              <w:rPr>
                <w:rFonts w:cstheme="minorHAnsi"/>
                <w:szCs w:val="24"/>
              </w:rPr>
              <w:t>Fil de connexion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1CF" w14:textId="128CCDF8" w:rsidR="001443D0" w:rsidRPr="001443D0" w:rsidRDefault="0010179F">
            <w:pPr>
              <w:pStyle w:val="Paragraphedeliste"/>
              <w:ind w:left="0"/>
              <w:jc w:val="center"/>
              <w:rPr>
                <w:rFonts w:cstheme="minorHAnsi"/>
                <w:noProof/>
                <w:szCs w:val="20"/>
              </w:rPr>
            </w:pPr>
            <w:r w:rsidRPr="001443D0">
              <w:rPr>
                <w:rFonts w:cstheme="minorHAnsi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44DEC" wp14:editId="5931BD1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74930</wp:posOffset>
                      </wp:positionV>
                      <wp:extent cx="552450" cy="0"/>
                      <wp:effectExtent l="0" t="0" r="19050" b="1905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491A50" id="Connecteur droit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5.9pt" to="124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1443D0" w14:paraId="6239C0A4" w14:textId="77777777" w:rsidTr="0010179F">
        <w:trPr>
          <w:trHeight w:val="715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A958" w14:textId="058E7761" w:rsidR="001443D0" w:rsidRPr="001443D0" w:rsidRDefault="001443D0">
            <w:pPr>
              <w:pStyle w:val="Paragraphedeliste"/>
              <w:ind w:left="0"/>
              <w:jc w:val="center"/>
              <w:rPr>
                <w:rFonts w:cstheme="minorHAnsi"/>
                <w:szCs w:val="24"/>
              </w:rPr>
            </w:pPr>
            <w:r w:rsidRPr="001443D0">
              <w:rPr>
                <w:rFonts w:cstheme="minorHAnsi"/>
                <w:szCs w:val="24"/>
              </w:rPr>
              <w:t>Capteur</w:t>
            </w:r>
            <w:r>
              <w:rPr>
                <w:rFonts w:cstheme="minorHAnsi"/>
                <w:szCs w:val="24"/>
              </w:rPr>
              <w:t xml:space="preserve"> </w:t>
            </w:r>
            <w:r w:rsidRPr="001443D0">
              <w:rPr>
                <w:rFonts w:cstheme="minorHAnsi"/>
                <w:szCs w:val="24"/>
              </w:rPr>
              <w:t>/</w:t>
            </w:r>
            <w:r>
              <w:rPr>
                <w:rFonts w:cstheme="minorHAnsi"/>
                <w:szCs w:val="24"/>
              </w:rPr>
              <w:t xml:space="preserve"> </w:t>
            </w:r>
            <w:r w:rsidRPr="001443D0">
              <w:rPr>
                <w:rFonts w:cstheme="minorHAnsi"/>
                <w:szCs w:val="24"/>
              </w:rPr>
              <w:t>Émetteur piézo-électrique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9B04" w14:textId="09A3BF75" w:rsidR="001443D0" w:rsidRPr="001443D0" w:rsidRDefault="001443D0">
            <w:pPr>
              <w:pStyle w:val="Paragraphedeliste"/>
              <w:ind w:left="0"/>
              <w:jc w:val="center"/>
              <w:rPr>
                <w:rFonts w:cstheme="minorHAnsi"/>
                <w:szCs w:val="24"/>
              </w:rPr>
            </w:pPr>
            <w:r w:rsidRPr="001443D0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345E2569" wp14:editId="0BB13CDF">
                  <wp:extent cx="1247775" cy="371475"/>
                  <wp:effectExtent l="0" t="0" r="9525" b="9525"/>
                  <wp:docPr id="8" name="Image 8" descr="https://encrypted-tbn0.gstatic.com/images?q=tbn:ANd9GcSmiZ34xDsD1h_TttMYwjvTnsvx5TzwPyIAMBx30uwKgMksVM8T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https://encrypted-tbn0.gstatic.com/images?q=tbn:ANd9GcSmiZ34xDsD1h_TttMYwjvTnsvx5TzwPyIAMBx30uwKgMksVM8TS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39" b="18461"/>
                          <a:stretch/>
                        </pic:blipFill>
                        <pic:spPr bwMode="auto">
                          <a:xfrm>
                            <a:off x="0" y="0"/>
                            <a:ext cx="1247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3D0" w14:paraId="405ABA9B" w14:textId="77777777" w:rsidTr="0010179F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C3" w14:textId="77777777" w:rsidR="001443D0" w:rsidRPr="001443D0" w:rsidRDefault="001443D0">
            <w:pPr>
              <w:pStyle w:val="Paragraphedeliste"/>
              <w:ind w:left="0"/>
              <w:jc w:val="center"/>
              <w:rPr>
                <w:rFonts w:cstheme="minorHAnsi"/>
                <w:szCs w:val="24"/>
              </w:rPr>
            </w:pPr>
            <w:r w:rsidRPr="001443D0">
              <w:rPr>
                <w:rFonts w:cstheme="minorHAnsi"/>
                <w:szCs w:val="24"/>
              </w:rPr>
              <w:t>Générateur basse fréquence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5F2B" w14:textId="7A88F5CB" w:rsidR="001443D0" w:rsidRPr="001443D0" w:rsidRDefault="001443D0">
            <w:pPr>
              <w:pStyle w:val="Paragraphedeliste"/>
              <w:ind w:left="0"/>
              <w:jc w:val="center"/>
              <w:rPr>
                <w:rFonts w:cstheme="minorHAnsi"/>
                <w:szCs w:val="24"/>
              </w:rPr>
            </w:pPr>
            <w:r w:rsidRPr="001443D0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1ACDFC59" wp14:editId="3586416E">
                  <wp:extent cx="704850" cy="704850"/>
                  <wp:effectExtent l="0" t="0" r="0" b="0"/>
                  <wp:docPr id="7" name="Image 7" descr="https://upload.wikimedia.org/wikipedia/commons/thumb/8/86/Voltage_Source_%28AC%29.svg/220px-Voltage_Source_%28AC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https://upload.wikimedia.org/wikipedia/commons/thumb/8/86/Voltage_Source_%28AC%29.svg/220px-Voltage_Source_%28AC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3D0" w14:paraId="52826E2C" w14:textId="77777777" w:rsidTr="0010179F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98CF" w14:textId="77777777" w:rsidR="001443D0" w:rsidRPr="001443D0" w:rsidRDefault="001443D0">
            <w:pPr>
              <w:pStyle w:val="Paragraphedeliste"/>
              <w:ind w:left="0"/>
              <w:jc w:val="center"/>
              <w:rPr>
                <w:rFonts w:cstheme="minorHAnsi"/>
                <w:szCs w:val="24"/>
              </w:rPr>
            </w:pPr>
            <w:r w:rsidRPr="001443D0">
              <w:rPr>
                <w:rFonts w:cstheme="minorHAnsi"/>
                <w:szCs w:val="24"/>
              </w:rPr>
              <w:t>Oscilloscope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2880" w14:textId="4C7F95F9" w:rsidR="001443D0" w:rsidRPr="001443D0" w:rsidRDefault="001443D0">
            <w:pPr>
              <w:pStyle w:val="Paragraphedeliste"/>
              <w:ind w:left="0"/>
              <w:jc w:val="center"/>
              <w:rPr>
                <w:rFonts w:cstheme="minorHAnsi"/>
                <w:szCs w:val="24"/>
              </w:rPr>
            </w:pPr>
            <w:r w:rsidRPr="001443D0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B569595" wp14:editId="7F18842F">
                  <wp:extent cx="1504950" cy="485775"/>
                  <wp:effectExtent l="0" t="0" r="0" b="9525"/>
                  <wp:docPr id="6" name="Image 6" descr="https://gallery.proficad.com/Preview/262.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https://gallery.proficad.com/Preview/262.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32" b="33088"/>
                          <a:stretch/>
                        </pic:blipFill>
                        <pic:spPr bwMode="auto">
                          <a:xfrm>
                            <a:off x="0" y="0"/>
                            <a:ext cx="1504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54583" w14:textId="0217D761" w:rsidR="007F67CE" w:rsidRDefault="007F67CE" w:rsidP="001443D0">
      <w:pPr>
        <w:pStyle w:val="Paragraphedeliste"/>
        <w:ind w:left="1440"/>
      </w:pPr>
    </w:p>
    <w:p w14:paraId="67AE63ED" w14:textId="77777777" w:rsidR="007F67CE" w:rsidRDefault="007F67CE">
      <w:r>
        <w:br w:type="page"/>
      </w:r>
    </w:p>
    <w:p w14:paraId="4FCF6486" w14:textId="60AB6F30" w:rsidR="0B78650A" w:rsidRDefault="0B78650A" w:rsidP="0B78650A">
      <w:pPr>
        <w:pStyle w:val="Paragraphedeliste"/>
        <w:numPr>
          <w:ilvl w:val="0"/>
          <w:numId w:val="1"/>
        </w:numPr>
      </w:pPr>
      <w:r w:rsidRPr="0B78650A">
        <w:rPr>
          <w:rFonts w:ascii="Calibri" w:eastAsia="Calibri" w:hAnsi="Calibri" w:cs="Calibri"/>
        </w:rPr>
        <w:lastRenderedPageBreak/>
        <w:t>Compétences développées</w:t>
      </w: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1"/>
        <w:gridCol w:w="6518"/>
      </w:tblGrid>
      <w:tr w:rsidR="00D72355" w:rsidRPr="00BC6E70" w14:paraId="21811DB1" w14:textId="77777777" w:rsidTr="0010179F">
        <w:trPr>
          <w:trHeight w:val="448"/>
          <w:jc w:val="center"/>
        </w:trPr>
        <w:tc>
          <w:tcPr>
            <w:tcW w:w="2551" w:type="dxa"/>
            <w:shd w:val="clear" w:color="auto" w:fill="B4C6E7" w:themeFill="accent1" w:themeFillTint="66"/>
            <w:vAlign w:val="center"/>
          </w:tcPr>
          <w:p w14:paraId="7A054B05" w14:textId="77777777" w:rsidR="00D72355" w:rsidRPr="00BC6E70" w:rsidRDefault="00D72355" w:rsidP="00D72355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6518" w:type="dxa"/>
            <w:shd w:val="clear" w:color="auto" w:fill="B4C6E7" w:themeFill="accent1" w:themeFillTint="66"/>
            <w:vAlign w:val="center"/>
          </w:tcPr>
          <w:p w14:paraId="381BE731" w14:textId="5C0AFD03" w:rsidR="00D72355" w:rsidRPr="00BC6E70" w:rsidRDefault="00D72355" w:rsidP="00D72355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  <w:r>
              <w:rPr>
                <w:b/>
              </w:rPr>
              <w:t xml:space="preserve"> associées</w:t>
            </w:r>
          </w:p>
        </w:tc>
      </w:tr>
      <w:tr w:rsidR="00D72355" w:rsidRPr="00815632" w14:paraId="556B4DB7" w14:textId="77777777" w:rsidTr="0010179F">
        <w:trPr>
          <w:trHeight w:val="102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15CCF70" w14:textId="77777777" w:rsidR="00D72355" w:rsidRPr="00BC6E70" w:rsidRDefault="00D72355" w:rsidP="0060414C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2310634A" w14:textId="77777777" w:rsidR="00D72355" w:rsidRDefault="0060414C" w:rsidP="0060414C">
            <w:pPr>
              <w:spacing w:before="40" w:after="0"/>
            </w:pPr>
            <w:r>
              <w:t>- Rechercher</w:t>
            </w:r>
            <w:r w:rsidR="00D72355" w:rsidRPr="00815632">
              <w:t xml:space="preserve"> extraire et organiser l’information.</w:t>
            </w:r>
          </w:p>
          <w:p w14:paraId="108EE81D" w14:textId="14CA2E55" w:rsidR="0060414C" w:rsidRPr="00815632" w:rsidRDefault="0060414C" w:rsidP="0060414C">
            <w:pPr>
              <w:spacing w:before="40" w:after="0"/>
            </w:pPr>
            <w:r>
              <w:t>- Traduire des informations, codage.</w:t>
            </w:r>
          </w:p>
        </w:tc>
      </w:tr>
      <w:tr w:rsidR="00D72355" w:rsidRPr="00BC6E70" w14:paraId="5EE6FBA4" w14:textId="77777777" w:rsidTr="0010179F">
        <w:trPr>
          <w:trHeight w:val="102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09153A1" w14:textId="77777777" w:rsidR="00D72355" w:rsidRPr="00BC6E70" w:rsidRDefault="00D72355" w:rsidP="0060414C">
            <w:pPr>
              <w:spacing w:after="0"/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14:paraId="3241FB6A" w14:textId="77777777" w:rsidR="00D72355" w:rsidRPr="00BC6E70" w:rsidRDefault="00D72355" w:rsidP="0060414C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3D67289E" w14:textId="79DFBA87" w:rsidR="0010179F" w:rsidRPr="0010179F" w:rsidRDefault="0060414C" w:rsidP="0010179F">
            <w:pPr>
              <w:spacing w:after="0" w:line="360" w:lineRule="auto"/>
              <w:rPr>
                <w:rFonts w:cs="Arial"/>
              </w:rPr>
            </w:pPr>
            <w:r w:rsidRPr="0060414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Émettre des</w:t>
            </w:r>
            <w:r w:rsidR="00D72355" w:rsidRPr="0060414C">
              <w:rPr>
                <w:rFonts w:cs="Arial"/>
              </w:rPr>
              <w:t xml:space="preserve"> conjecture</w:t>
            </w:r>
            <w:r>
              <w:rPr>
                <w:rFonts w:cs="Arial"/>
              </w:rPr>
              <w:t xml:space="preserve">s, formuler des </w:t>
            </w:r>
            <w:r w:rsidR="0010179F">
              <w:rPr>
                <w:rFonts w:cs="Arial"/>
              </w:rPr>
              <w:t>hypothèses.</w:t>
            </w:r>
          </w:p>
          <w:p w14:paraId="01207585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- Choisir, élaborer un protocole.</w:t>
            </w:r>
          </w:p>
          <w:p w14:paraId="28DA6F27" w14:textId="2F0743A1" w:rsidR="00D72355" w:rsidRPr="00BC6E70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Évaluer des ordres de grandeur.</w:t>
            </w:r>
          </w:p>
        </w:tc>
      </w:tr>
      <w:tr w:rsidR="00D72355" w:rsidRPr="00BC6E70" w14:paraId="22AA0A35" w14:textId="77777777" w:rsidTr="0010179F">
        <w:trPr>
          <w:trHeight w:val="102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E509F90" w14:textId="77777777" w:rsidR="00D72355" w:rsidRPr="00BC6E70" w:rsidRDefault="00D72355" w:rsidP="0060414C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29DA928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- Mettre en œuvre les étapes d’une démarche.</w:t>
            </w:r>
          </w:p>
          <w:p w14:paraId="4B8FF0F8" w14:textId="77777777" w:rsidR="0010179F" w:rsidRPr="0010179F" w:rsidRDefault="0010179F" w:rsidP="0010179F">
            <w:pPr>
              <w:spacing w:after="0" w:line="276" w:lineRule="auto"/>
              <w:rPr>
                <w:rFonts w:cs="Arial"/>
              </w:rPr>
            </w:pPr>
            <w:r w:rsidRPr="0010179F">
              <w:rPr>
                <w:rFonts w:cs="Arial"/>
              </w:rPr>
              <w:t>- Calculer (calcul littéral, calcul algébrique, calcul numérique exact ou</w:t>
            </w:r>
          </w:p>
          <w:p w14:paraId="12687955" w14:textId="1CE38908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appro</w:t>
            </w:r>
            <w:r>
              <w:rPr>
                <w:rFonts w:cs="Arial"/>
              </w:rPr>
              <w:t>ché, instrumenté ou à la main).</w:t>
            </w:r>
          </w:p>
          <w:p w14:paraId="024888C7" w14:textId="77777777" w:rsidR="0010179F" w:rsidRPr="0010179F" w:rsidRDefault="0010179F" w:rsidP="0010179F">
            <w:pPr>
              <w:spacing w:after="0" w:line="276" w:lineRule="auto"/>
              <w:rPr>
                <w:rFonts w:cs="Arial"/>
              </w:rPr>
            </w:pPr>
            <w:r w:rsidRPr="0010179F">
              <w:rPr>
                <w:rFonts w:cs="Arial"/>
              </w:rPr>
              <w:t>- Effectuer des procédures courantes (représentations, collectes de</w:t>
            </w:r>
          </w:p>
          <w:p w14:paraId="33B3F543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données, utilisation du matériel…).</w:t>
            </w:r>
          </w:p>
          <w:p w14:paraId="19D4E350" w14:textId="77777777" w:rsidR="0010179F" w:rsidRPr="0010179F" w:rsidRDefault="0010179F" w:rsidP="0010179F">
            <w:pPr>
              <w:spacing w:after="0" w:line="276" w:lineRule="auto"/>
              <w:rPr>
                <w:rFonts w:cs="Arial"/>
              </w:rPr>
            </w:pPr>
            <w:r w:rsidRPr="0010179F">
              <w:rPr>
                <w:rFonts w:cs="Arial"/>
              </w:rPr>
              <w:t>- Mettre en œuvre un protocole expérimental en respectant les règles</w:t>
            </w:r>
          </w:p>
          <w:p w14:paraId="1721219F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de sécurité à partir d’un schéma ou d’un descriptif.</w:t>
            </w:r>
          </w:p>
          <w:p w14:paraId="48FCBB4B" w14:textId="4563CB67" w:rsidR="00D72355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Organiser son poste de travail.</w:t>
            </w:r>
          </w:p>
        </w:tc>
      </w:tr>
      <w:tr w:rsidR="00D72355" w:rsidRPr="00BC6E70" w14:paraId="1FE465F5" w14:textId="77777777" w:rsidTr="0010179F">
        <w:trPr>
          <w:trHeight w:val="102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056648C" w14:textId="77777777" w:rsidR="00D72355" w:rsidRPr="00BC6E70" w:rsidRDefault="00D72355" w:rsidP="0060414C">
            <w:pPr>
              <w:spacing w:after="0"/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4469BDC7" w14:textId="77777777" w:rsidR="0010179F" w:rsidRPr="0010179F" w:rsidRDefault="0010179F" w:rsidP="00C11063">
            <w:pPr>
              <w:spacing w:after="0" w:line="276" w:lineRule="auto"/>
              <w:jc w:val="both"/>
              <w:rPr>
                <w:rFonts w:cs="Arial"/>
              </w:rPr>
            </w:pPr>
            <w:r w:rsidRPr="0010179F">
              <w:rPr>
                <w:rFonts w:cs="Arial"/>
              </w:rPr>
              <w:t>- Exploiter et interpréter les résultats obtenus ou les observations</w:t>
            </w:r>
          </w:p>
          <w:p w14:paraId="27A258CE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effectuées afin de répondre à une problématique.</w:t>
            </w:r>
          </w:p>
          <w:p w14:paraId="1A35A4B0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- Valider ou invalider un modèle, une hypothèse en argumentant.</w:t>
            </w:r>
          </w:p>
          <w:p w14:paraId="19C7C52F" w14:textId="23E953A4" w:rsidR="00D72355" w:rsidRPr="00BC6E70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 xml:space="preserve">- Contrôler la </w:t>
            </w:r>
            <w:r>
              <w:rPr>
                <w:rFonts w:cs="Arial"/>
              </w:rPr>
              <w:t>vraisemblance d’une conjecture.</w:t>
            </w:r>
          </w:p>
        </w:tc>
      </w:tr>
      <w:tr w:rsidR="00D72355" w:rsidRPr="00BC6E70" w14:paraId="5B219DFB" w14:textId="77777777" w:rsidTr="00C11063">
        <w:trPr>
          <w:trHeight w:val="42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8281F3B" w14:textId="77777777" w:rsidR="00D72355" w:rsidRPr="00BC6E70" w:rsidRDefault="00D72355" w:rsidP="0060414C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634EED3A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À l’écrit comme à l’oral :</w:t>
            </w:r>
          </w:p>
          <w:p w14:paraId="65EFC15B" w14:textId="148F670F" w:rsidR="0010179F" w:rsidRPr="0010179F" w:rsidRDefault="00C11063" w:rsidP="00C1106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 R</w:t>
            </w:r>
            <w:r w:rsidR="0010179F" w:rsidRPr="0010179F">
              <w:rPr>
                <w:rFonts w:cs="Arial"/>
              </w:rPr>
              <w:t>endre compte d’un résultat en utilisant un vocabulaire adapté et</w:t>
            </w:r>
          </w:p>
          <w:p w14:paraId="39D9A07E" w14:textId="77777777" w:rsidR="0010179F" w:rsidRPr="0010179F" w:rsidRDefault="0010179F" w:rsidP="0010179F">
            <w:pPr>
              <w:spacing w:after="0" w:line="360" w:lineRule="auto"/>
              <w:rPr>
                <w:rFonts w:cs="Arial"/>
              </w:rPr>
            </w:pPr>
            <w:r w:rsidRPr="0010179F">
              <w:rPr>
                <w:rFonts w:cs="Arial"/>
              </w:rPr>
              <w:t>choisir des modes de représentation appropriés ;</w:t>
            </w:r>
          </w:p>
          <w:p w14:paraId="5642C8E3" w14:textId="16A46203" w:rsidR="00D72355" w:rsidRPr="00BC6E70" w:rsidRDefault="00C11063" w:rsidP="0010179F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- E</w:t>
            </w:r>
            <w:r w:rsidR="0010179F" w:rsidRPr="0010179F">
              <w:rPr>
                <w:rFonts w:cs="Arial"/>
              </w:rPr>
              <w:t>xpliquer une démarche.</w:t>
            </w:r>
          </w:p>
        </w:tc>
      </w:tr>
    </w:tbl>
    <w:p w14:paraId="6C9EB23F" w14:textId="77AFF564" w:rsidR="65B1EE3E" w:rsidRPr="00C11063" w:rsidRDefault="65B1EE3E" w:rsidP="00C11063">
      <w:pPr>
        <w:rPr>
          <w:rFonts w:ascii="Calibri" w:eastAsia="Calibri" w:hAnsi="Calibri" w:cs="Calibri"/>
          <w:sz w:val="2"/>
          <w:szCs w:val="2"/>
        </w:rPr>
      </w:pPr>
    </w:p>
    <w:sectPr w:rsidR="65B1EE3E" w:rsidRPr="00C11063" w:rsidSect="007F67CE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76A"/>
    <w:multiLevelType w:val="hybridMultilevel"/>
    <w:tmpl w:val="18DE50B2"/>
    <w:lvl w:ilvl="0" w:tplc="1082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C1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6C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6E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46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AE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E7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4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7E3"/>
    <w:multiLevelType w:val="hybridMultilevel"/>
    <w:tmpl w:val="FA1218B4"/>
    <w:lvl w:ilvl="0" w:tplc="37867E80">
      <w:start w:val="1"/>
      <w:numFmt w:val="decimal"/>
      <w:lvlText w:val="1.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D67"/>
    <w:multiLevelType w:val="hybridMultilevel"/>
    <w:tmpl w:val="EFFC14A0"/>
    <w:lvl w:ilvl="0" w:tplc="C0CA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34451"/>
    <w:multiLevelType w:val="hybridMultilevel"/>
    <w:tmpl w:val="B6A43432"/>
    <w:lvl w:ilvl="0" w:tplc="C0CA9AA4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3AAE7"/>
    <w:rsid w:val="000C0564"/>
    <w:rsid w:val="000C7BDC"/>
    <w:rsid w:val="0010179F"/>
    <w:rsid w:val="00123794"/>
    <w:rsid w:val="001443D0"/>
    <w:rsid w:val="001B380D"/>
    <w:rsid w:val="001C34C1"/>
    <w:rsid w:val="002929DA"/>
    <w:rsid w:val="00493790"/>
    <w:rsid w:val="00512CAC"/>
    <w:rsid w:val="005904A4"/>
    <w:rsid w:val="0060414C"/>
    <w:rsid w:val="00607BC9"/>
    <w:rsid w:val="00737285"/>
    <w:rsid w:val="00751AC5"/>
    <w:rsid w:val="007F67CE"/>
    <w:rsid w:val="00813581"/>
    <w:rsid w:val="00A45849"/>
    <w:rsid w:val="00AB03E0"/>
    <w:rsid w:val="00BF0C7A"/>
    <w:rsid w:val="00C11063"/>
    <w:rsid w:val="00D50CB0"/>
    <w:rsid w:val="00D72355"/>
    <w:rsid w:val="00DF6FC0"/>
    <w:rsid w:val="00EB2F99"/>
    <w:rsid w:val="0B78650A"/>
    <w:rsid w:val="0E93F313"/>
    <w:rsid w:val="1063AAE7"/>
    <w:rsid w:val="1D80BB12"/>
    <w:rsid w:val="65B1E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A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2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C3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2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C3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Lgbv93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GUILLAUME;Vincent L'hopital</dc:creator>
  <cp:lastModifiedBy>vincent L'Hopital</cp:lastModifiedBy>
  <cp:revision>2</cp:revision>
  <dcterms:created xsi:type="dcterms:W3CDTF">2019-10-30T12:18:00Z</dcterms:created>
  <dcterms:modified xsi:type="dcterms:W3CDTF">2019-10-30T12:18:00Z</dcterms:modified>
</cp:coreProperties>
</file>